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7F6B" w:rsidRDefault="005C396C">
      <w:pPr>
        <w:pStyle w:val="Title"/>
      </w:pPr>
      <w:r>
        <w:t xml:space="preserve">Evidence Brief </w:t>
      </w:r>
    </w:p>
    <w:p w:rsidR="007A7F6B" w:rsidRDefault="005C396C">
      <w:pPr>
        <w:pStyle w:val="Heading1"/>
      </w:pPr>
      <w:r>
        <w:t>Paper Information</w:t>
      </w:r>
    </w:p>
    <w:p w:rsidR="00D602DA" w:rsidRPr="00D602DA" w:rsidRDefault="005C396C" w:rsidP="00D602DA">
      <w:r>
        <w:rPr>
          <w:b/>
          <w:bCs/>
        </w:rPr>
        <w:t xml:space="preserve">Title: </w:t>
      </w:r>
      <w:r w:rsidR="00D602DA" w:rsidRPr="00D602DA">
        <w:t>Vocational training programs and youth labor market outcomes: Evidence</w:t>
      </w:r>
    </w:p>
    <w:p w:rsidR="00D602DA" w:rsidRPr="00D602DA" w:rsidRDefault="00D602DA" w:rsidP="00D602DA">
      <w:r w:rsidRPr="00D602DA">
        <w:t>from Nepal</w:t>
      </w:r>
    </w:p>
    <w:p w:rsidR="007A7F6B" w:rsidRDefault="005C396C" w:rsidP="00D602DA">
      <w:r>
        <w:rPr>
          <w:b/>
          <w:bCs/>
        </w:rPr>
        <w:t xml:space="preserve">Authors: </w:t>
      </w:r>
      <w:r w:rsidR="00D602DA" w:rsidRPr="00D602DA">
        <w:t>Shubha Chakravarty, Mattias Lundberg, Plamen Nikolov, Juliane Zenker</w:t>
      </w:r>
    </w:p>
    <w:p w:rsidR="007A7F6B" w:rsidRDefault="005C396C" w:rsidP="00D602DA">
      <w:r>
        <w:rPr>
          <w:b/>
          <w:bCs/>
        </w:rPr>
        <w:t xml:space="preserve">Journal/Source: </w:t>
      </w:r>
      <w:r w:rsidR="00D602DA">
        <w:t>Journal of Development Economics, Volume 136</w:t>
      </w:r>
    </w:p>
    <w:p w:rsidR="007A7F6B" w:rsidRDefault="005C396C">
      <w:r>
        <w:rPr>
          <w:b/>
          <w:bCs/>
        </w:rPr>
        <w:t xml:space="preserve">Year: </w:t>
      </w:r>
      <w:r w:rsidR="00D602DA">
        <w:t>January 2019</w:t>
      </w:r>
    </w:p>
    <w:p w:rsidR="007A7F6B" w:rsidRDefault="005C396C">
      <w:r>
        <w:rPr>
          <w:b/>
          <w:bCs/>
        </w:rPr>
        <w:t xml:space="preserve">DOI/Link: </w:t>
      </w:r>
      <w:hyperlink r:id="rId7" w:tgtFrame="_blank" w:tooltip="Persistent link using digital object identifier" w:history="1">
        <w:r w:rsidR="00D602DA">
          <w:rPr>
            <w:rStyle w:val="anchor-text"/>
            <w:color w:val="0000FF"/>
            <w:u w:val="single"/>
          </w:rPr>
          <w:t>https://doi.org/10.1016/j.jdeveco.2018.09.002</w:t>
        </w:r>
      </w:hyperlink>
    </w:p>
    <w:p w:rsidR="0006394E" w:rsidRDefault="005C396C" w:rsidP="00220F90">
      <w:pPr>
        <w:pStyle w:val="Heading1"/>
      </w:pPr>
      <w:r>
        <w:t>The Bottom Line</w:t>
      </w:r>
    </w:p>
    <w:p w:rsidR="00791559" w:rsidRPr="00791559" w:rsidRDefault="00791559" w:rsidP="00791559"/>
    <w:p w:rsidR="009D0786" w:rsidRDefault="009D0786" w:rsidP="00641612">
      <w:pPr>
        <w:pBdr>
          <w:top w:val="nil"/>
          <w:left w:val="nil"/>
          <w:bottom w:val="nil"/>
          <w:right w:val="nil"/>
          <w:between w:val="nil"/>
        </w:pBdr>
        <w:spacing w:before="120" w:after="120"/>
        <w:ind w:right="360"/>
        <w:rPr>
          <w:i/>
          <w:iCs/>
          <w:color w:val="2C3E50"/>
          <w:sz w:val="24"/>
          <w:szCs w:val="24"/>
        </w:rPr>
      </w:pPr>
      <w:r>
        <w:t>Vocational training can significantly improve employment and earnings for</w:t>
      </w:r>
      <w:r w:rsidR="00421455">
        <w:t xml:space="preserve"> </w:t>
      </w:r>
      <w:r>
        <w:t>disadvantaged youth in low-income settings</w:t>
      </w:r>
      <w:r w:rsidR="00326CE3">
        <w:t xml:space="preserve">, </w:t>
      </w:r>
      <w:r>
        <w:t>but programs must be tailored to local labor markets and cultural contexts—particularly regarding women's mobility constraints</w:t>
      </w:r>
      <w:r>
        <w:t>.</w:t>
      </w:r>
    </w:p>
    <w:p w:rsidR="007A7F6B" w:rsidRDefault="005C396C">
      <w:pPr>
        <w:pStyle w:val="Heading1"/>
      </w:pPr>
      <w:r>
        <w:t>1. Why This Paper?</w:t>
      </w:r>
    </w:p>
    <w:p w:rsidR="007A7F6B" w:rsidRDefault="007A7F6B"/>
    <w:p w:rsidR="00906C44" w:rsidRDefault="00906C44" w:rsidP="00906C44">
      <w:r>
        <w:t xml:space="preserve">The critical question this paper answers is whether a policy maker can effectively intervene to improve the </w:t>
      </w:r>
      <w:r w:rsidR="00E023AB">
        <w:t>labor</w:t>
      </w:r>
      <w:r>
        <w:t xml:space="preserve"> market outcomes</w:t>
      </w:r>
      <w:r w:rsidR="009D0786">
        <w:t>(employment rates and earnings)</w:t>
      </w:r>
      <w:r>
        <w:t xml:space="preserve"> of people or not. T</w:t>
      </w:r>
      <w:r w:rsidR="002F4E88">
        <w:t>his</w:t>
      </w:r>
      <w:r>
        <w:t xml:space="preserve"> question is </w:t>
      </w:r>
      <w:r w:rsidR="00641612">
        <w:t xml:space="preserve">derived from the fact that employment is very important to people. Employment is how people improve their material wellbeing; it is how people gain self esteem. </w:t>
      </w:r>
      <w:r>
        <w:t xml:space="preserve">Unemployment generates substantial negative externalities including higher crime rates, increased substance abuse, social exclusion. </w:t>
      </w:r>
    </w:p>
    <w:p w:rsidR="009D0786" w:rsidRDefault="009D0786" w:rsidP="00906C44"/>
    <w:p w:rsidR="00322763" w:rsidRDefault="009D0786">
      <w:r w:rsidRPr="009D0786">
        <w:t>The prevailing literature from middle-income countries finds small or negligible effects of vocational training on employment. This paper rigorously tests whether these findings hold in a low-income context with exceptionally low baseline human capita</w:t>
      </w:r>
      <w:r>
        <w:t>l---</w:t>
      </w:r>
      <w:r w:rsidRPr="009D0786">
        <w:t>where such interventions might have greater potential to transform lives</w:t>
      </w:r>
    </w:p>
    <w:p w:rsidR="007A7F6B" w:rsidRDefault="005C396C" w:rsidP="009D0786">
      <w:pPr>
        <w:pStyle w:val="Heading1"/>
      </w:pPr>
      <w:r>
        <w:t>2. Context &amp; Setting</w:t>
      </w:r>
    </w:p>
    <w:tbl>
      <w:tblPr>
        <w:tblStyle w:val="a"/>
        <w:tblW w:w="95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8"/>
        <w:gridCol w:w="6461"/>
      </w:tblGrid>
      <w:tr w:rsidR="007A7F6B" w:rsidTr="00046AA4">
        <w:trPr>
          <w:trHeight w:val="266"/>
        </w:trPr>
        <w:tc>
          <w:tcPr>
            <w:tcW w:w="3048" w:type="dxa"/>
            <w:tcBorders>
              <w:top w:val="single" w:sz="4" w:space="0" w:color="CCCCCC"/>
              <w:left w:val="single" w:sz="4" w:space="0" w:color="CCCCCC"/>
              <w:bottom w:val="single" w:sz="4" w:space="0" w:color="CCCCCC"/>
              <w:right w:val="single" w:sz="4" w:space="0" w:color="CCCCCC"/>
            </w:tcBorders>
            <w:shd w:val="clear" w:color="auto" w:fill="E8F4F8"/>
          </w:tcPr>
          <w:p w:rsidR="007A7F6B" w:rsidRDefault="005C396C">
            <w:r>
              <w:rPr>
                <w:b/>
                <w:bCs/>
              </w:rPr>
              <w:t>Element</w:t>
            </w:r>
          </w:p>
        </w:tc>
        <w:tc>
          <w:tcPr>
            <w:tcW w:w="6461" w:type="dxa"/>
            <w:tcBorders>
              <w:top w:val="single" w:sz="4" w:space="0" w:color="CCCCCC"/>
              <w:left w:val="single" w:sz="4" w:space="0" w:color="CCCCCC"/>
              <w:bottom w:val="single" w:sz="4" w:space="0" w:color="CCCCCC"/>
              <w:right w:val="single" w:sz="4" w:space="0" w:color="CCCCCC"/>
            </w:tcBorders>
            <w:shd w:val="clear" w:color="auto" w:fill="E8F4F8"/>
          </w:tcPr>
          <w:p w:rsidR="007A7F6B" w:rsidRDefault="005C396C">
            <w:r>
              <w:rPr>
                <w:b/>
                <w:bCs/>
              </w:rPr>
              <w:t>Details</w:t>
            </w:r>
          </w:p>
        </w:tc>
      </w:tr>
      <w:tr w:rsidR="007A7F6B" w:rsidTr="00046AA4">
        <w:trPr>
          <w:trHeight w:val="543"/>
        </w:trPr>
        <w:tc>
          <w:tcPr>
            <w:tcW w:w="3048" w:type="dxa"/>
            <w:tcBorders>
              <w:top w:val="single" w:sz="4" w:space="0" w:color="CCCCCC"/>
              <w:left w:val="single" w:sz="4" w:space="0" w:color="CCCCCC"/>
              <w:bottom w:val="single" w:sz="4" w:space="0" w:color="CCCCCC"/>
              <w:right w:val="single" w:sz="4" w:space="0" w:color="CCCCCC"/>
            </w:tcBorders>
          </w:tcPr>
          <w:p w:rsidR="003E37FD" w:rsidRDefault="003E37FD"/>
          <w:p w:rsidR="007A7F6B" w:rsidRDefault="005C396C">
            <w:r>
              <w:t>Country/Region</w:t>
            </w:r>
          </w:p>
        </w:tc>
        <w:tc>
          <w:tcPr>
            <w:tcW w:w="6461" w:type="dxa"/>
            <w:tcBorders>
              <w:top w:val="single" w:sz="4" w:space="0" w:color="CCCCCC"/>
              <w:left w:val="single" w:sz="4" w:space="0" w:color="CCCCCC"/>
              <w:bottom w:val="single" w:sz="4" w:space="0" w:color="CCCCCC"/>
              <w:right w:val="single" w:sz="4" w:space="0" w:color="CCCCCC"/>
            </w:tcBorders>
          </w:tcPr>
          <w:p w:rsidR="003E37FD" w:rsidRDefault="003E37FD"/>
          <w:p w:rsidR="007A7F6B" w:rsidRDefault="003E37FD">
            <w:r w:rsidRPr="003E37FD">
              <w:t>Nepal (the program operated nationwide across 54 districts</w:t>
            </w:r>
          </w:p>
        </w:tc>
      </w:tr>
      <w:tr w:rsidR="007A7F6B" w:rsidTr="00046AA4">
        <w:trPr>
          <w:trHeight w:val="1342"/>
        </w:trPr>
        <w:tc>
          <w:tcPr>
            <w:tcW w:w="3048" w:type="dxa"/>
            <w:tcBorders>
              <w:top w:val="single" w:sz="4" w:space="0" w:color="CCCCCC"/>
              <w:left w:val="single" w:sz="4" w:space="0" w:color="CCCCCC"/>
              <w:bottom w:val="single" w:sz="4" w:space="0" w:color="CCCCCC"/>
              <w:right w:val="single" w:sz="4" w:space="0" w:color="CCCCCC"/>
            </w:tcBorders>
          </w:tcPr>
          <w:p w:rsidR="003E37FD" w:rsidRDefault="003E37FD"/>
          <w:p w:rsidR="007A7F6B" w:rsidRDefault="005C396C">
            <w:r>
              <w:t>Time Period</w:t>
            </w:r>
          </w:p>
        </w:tc>
        <w:tc>
          <w:tcPr>
            <w:tcW w:w="6461" w:type="dxa"/>
            <w:tcBorders>
              <w:top w:val="single" w:sz="4" w:space="0" w:color="CCCCCC"/>
              <w:left w:val="single" w:sz="4" w:space="0" w:color="CCCCCC"/>
              <w:bottom w:val="single" w:sz="4" w:space="0" w:color="CCCCCC"/>
              <w:right w:val="single" w:sz="4" w:space="0" w:color="CCCCCC"/>
            </w:tcBorders>
          </w:tcPr>
          <w:p w:rsidR="003E37FD" w:rsidRDefault="003E37FD"/>
          <w:p w:rsidR="007A7F6B" w:rsidRDefault="003E37FD">
            <w:r w:rsidRPr="003E37FD">
              <w:t>Data were collected from three consecutive cohorts of applicants between 2010 and 2012. Outcomes were measured 9–11 months after training, with a sub-sample followed up 21–23 months later</w:t>
            </w:r>
          </w:p>
        </w:tc>
      </w:tr>
      <w:tr w:rsidR="007A7F6B" w:rsidTr="00046AA4">
        <w:trPr>
          <w:trHeight w:val="809"/>
        </w:trPr>
        <w:tc>
          <w:tcPr>
            <w:tcW w:w="3048" w:type="dxa"/>
            <w:tcBorders>
              <w:top w:val="single" w:sz="4" w:space="0" w:color="CCCCCC"/>
              <w:left w:val="single" w:sz="4" w:space="0" w:color="CCCCCC"/>
              <w:bottom w:val="single" w:sz="4" w:space="0" w:color="CCCCCC"/>
              <w:right w:val="single" w:sz="4" w:space="0" w:color="CCCCCC"/>
            </w:tcBorders>
          </w:tcPr>
          <w:p w:rsidR="003E37FD" w:rsidRDefault="003E37FD"/>
          <w:p w:rsidR="007A7F6B" w:rsidRDefault="005C396C">
            <w:r>
              <w:t>Sample Size</w:t>
            </w:r>
          </w:p>
        </w:tc>
        <w:tc>
          <w:tcPr>
            <w:tcW w:w="6461" w:type="dxa"/>
            <w:tcBorders>
              <w:top w:val="single" w:sz="4" w:space="0" w:color="CCCCCC"/>
              <w:left w:val="single" w:sz="4" w:space="0" w:color="CCCCCC"/>
              <w:bottom w:val="single" w:sz="4" w:space="0" w:color="CCCCCC"/>
              <w:right w:val="single" w:sz="4" w:space="0" w:color="CCCCCC"/>
            </w:tcBorders>
          </w:tcPr>
          <w:p w:rsidR="007A7F6B" w:rsidRDefault="007A7F6B"/>
          <w:p w:rsidR="003E37FD" w:rsidRDefault="003E37FD">
            <w:r w:rsidRPr="003E37FD">
              <w:t>The study tracked 4677 individuals at baseline, with 4101 individuals completing the primary follow-up survey.</w:t>
            </w:r>
          </w:p>
        </w:tc>
      </w:tr>
      <w:tr w:rsidR="007A7F6B" w:rsidTr="00046AA4">
        <w:trPr>
          <w:trHeight w:val="1075"/>
        </w:trPr>
        <w:tc>
          <w:tcPr>
            <w:tcW w:w="3048" w:type="dxa"/>
            <w:tcBorders>
              <w:top w:val="single" w:sz="4" w:space="0" w:color="CCCCCC"/>
              <w:left w:val="single" w:sz="4" w:space="0" w:color="CCCCCC"/>
              <w:bottom w:val="single" w:sz="4" w:space="0" w:color="CCCCCC"/>
              <w:right w:val="single" w:sz="4" w:space="0" w:color="CCCCCC"/>
            </w:tcBorders>
          </w:tcPr>
          <w:p w:rsidR="004816CD" w:rsidRDefault="004816CD"/>
          <w:p w:rsidR="007A7F6B" w:rsidRDefault="005C396C">
            <w:r>
              <w:t>Population Studied</w:t>
            </w:r>
          </w:p>
        </w:tc>
        <w:tc>
          <w:tcPr>
            <w:tcW w:w="6461" w:type="dxa"/>
            <w:tcBorders>
              <w:top w:val="single" w:sz="4" w:space="0" w:color="CCCCCC"/>
              <w:left w:val="single" w:sz="4" w:space="0" w:color="CCCCCC"/>
              <w:bottom w:val="single" w:sz="4" w:space="0" w:color="CCCCCC"/>
              <w:right w:val="single" w:sz="4" w:space="0" w:color="CCCCCC"/>
            </w:tcBorders>
          </w:tcPr>
          <w:p w:rsidR="004816CD" w:rsidRDefault="004816CD"/>
          <w:p w:rsidR="007A7F6B" w:rsidRDefault="004816CD">
            <w:r w:rsidRPr="004816CD">
              <w:t>Poor and disadvantaged youth (ages 16–35) with low baseline education (less than 10 years of formal schooling). The sample was 63% female</w:t>
            </w:r>
          </w:p>
        </w:tc>
      </w:tr>
      <w:tr w:rsidR="007A7F6B" w:rsidTr="00046AA4">
        <w:trPr>
          <w:trHeight w:val="1352"/>
        </w:trPr>
        <w:tc>
          <w:tcPr>
            <w:tcW w:w="3048" w:type="dxa"/>
            <w:tcBorders>
              <w:top w:val="single" w:sz="4" w:space="0" w:color="CCCCCC"/>
              <w:left w:val="single" w:sz="4" w:space="0" w:color="CCCCCC"/>
              <w:bottom w:val="single" w:sz="4" w:space="0" w:color="CCCCCC"/>
              <w:right w:val="single" w:sz="4" w:space="0" w:color="CCCCCC"/>
            </w:tcBorders>
          </w:tcPr>
          <w:p w:rsidR="004816CD" w:rsidRDefault="004816CD"/>
          <w:p w:rsidR="007A7F6B" w:rsidRDefault="005C396C">
            <w:r>
              <w:t>Policy/Program Evaluated</w:t>
            </w:r>
          </w:p>
        </w:tc>
        <w:tc>
          <w:tcPr>
            <w:tcW w:w="6461" w:type="dxa"/>
            <w:tcBorders>
              <w:top w:val="single" w:sz="4" w:space="0" w:color="CCCCCC"/>
              <w:left w:val="single" w:sz="4" w:space="0" w:color="CCCCCC"/>
              <w:bottom w:val="single" w:sz="4" w:space="0" w:color="CCCCCC"/>
              <w:right w:val="single" w:sz="4" w:space="0" w:color="CCCCCC"/>
            </w:tcBorders>
          </w:tcPr>
          <w:p w:rsidR="004816CD" w:rsidRDefault="004816CD"/>
          <w:p w:rsidR="007A7F6B" w:rsidRDefault="004816CD">
            <w:r w:rsidRPr="004816CD">
              <w:t>The Nepal Employment Fund (EF), a large-scale intervention providing market-oriented technical skills training, job placement services, and life-skills training (specifically for women)</w:t>
            </w:r>
          </w:p>
        </w:tc>
      </w:tr>
      <w:tr w:rsidR="007A7F6B" w:rsidTr="00046AA4">
        <w:trPr>
          <w:trHeight w:val="1075"/>
        </w:trPr>
        <w:tc>
          <w:tcPr>
            <w:tcW w:w="3048" w:type="dxa"/>
            <w:tcBorders>
              <w:top w:val="single" w:sz="4" w:space="0" w:color="CCCCCC"/>
              <w:left w:val="single" w:sz="4" w:space="0" w:color="CCCCCC"/>
              <w:bottom w:val="single" w:sz="4" w:space="0" w:color="CCCCCC"/>
              <w:right w:val="single" w:sz="4" w:space="0" w:color="CCCCCC"/>
            </w:tcBorders>
          </w:tcPr>
          <w:p w:rsidR="004816CD" w:rsidRDefault="004816CD"/>
          <w:p w:rsidR="007A7F6B" w:rsidRDefault="005C396C">
            <w:r>
              <w:t>Data Source(s)</w:t>
            </w:r>
          </w:p>
        </w:tc>
        <w:tc>
          <w:tcPr>
            <w:tcW w:w="6461" w:type="dxa"/>
            <w:tcBorders>
              <w:top w:val="single" w:sz="4" w:space="0" w:color="CCCCCC"/>
              <w:left w:val="single" w:sz="4" w:space="0" w:color="CCCCCC"/>
              <w:bottom w:val="single" w:sz="4" w:space="0" w:color="CCCCCC"/>
              <w:right w:val="single" w:sz="4" w:space="0" w:color="CCCCCC"/>
            </w:tcBorders>
          </w:tcPr>
          <w:p w:rsidR="00046AA4" w:rsidRDefault="00046AA4"/>
          <w:p w:rsidR="007A7F6B" w:rsidRDefault="004816CD">
            <w:r w:rsidRPr="004816CD">
              <w:t>Primary data included EF training application forms and standardized selection scores, supplemented by comprehensive individual and household surveys conducted by the research team</w:t>
            </w:r>
          </w:p>
        </w:tc>
      </w:tr>
    </w:tbl>
    <w:p w:rsidR="007A7F6B" w:rsidRDefault="007A7F6B"/>
    <w:p w:rsidR="00865196" w:rsidRDefault="00865196"/>
    <w:p w:rsidR="00C55F87" w:rsidRDefault="00865196">
      <w:r w:rsidRPr="00865196">
        <w:t>The Nepal Employment Fund (EF), established in 2008, was the central implementing body for this intervention</w:t>
      </w:r>
      <w:r>
        <w:t xml:space="preserve">. It </w:t>
      </w:r>
      <w:r w:rsidRPr="00865196">
        <w:t>work</w:t>
      </w:r>
      <w:r>
        <w:t>ed</w:t>
      </w:r>
      <w:r w:rsidRPr="00865196">
        <w:t xml:space="preserve"> in close cooperation with local training providers to deliver nationwide vocational services across 54 districts. </w:t>
      </w:r>
    </w:p>
    <w:p w:rsidR="00C55F87" w:rsidRDefault="00C55F87"/>
    <w:p w:rsidR="00C55F87" w:rsidRDefault="00865196">
      <w:r w:rsidRPr="00865196">
        <w:t xml:space="preserve">The policy environment was defined by Nepal’s position as one of the world's poorest nations, suffering from a severe lack of formal employment and a </w:t>
      </w:r>
      <w:r w:rsidR="006D7512">
        <w:t>very low baseline human capital (</w:t>
      </w:r>
      <w:r w:rsidRPr="00865196">
        <w:t>literacy rate of just 55.6% for those aged 15</w:t>
      </w:r>
      <w:r w:rsidR="00326CE3">
        <w:t>+</w:t>
      </w:r>
      <w:r w:rsidR="006D7512">
        <w:t>)</w:t>
      </w:r>
      <w:r w:rsidRPr="00865196">
        <w:t xml:space="preserve">. </w:t>
      </w:r>
      <w:r w:rsidR="00C55F87" w:rsidRPr="00C55F87">
        <w:t>The institutional framework addressed restrictive socio-cultural norms that traditionally bind women to household duties and limit their physical mobility by designing training that could lead to home-based self-employment</w:t>
      </w:r>
      <w:r w:rsidRPr="00865196">
        <w:t xml:space="preserve">. </w:t>
      </w:r>
    </w:p>
    <w:p w:rsidR="00C55F87" w:rsidRDefault="00C55F87"/>
    <w:p w:rsidR="00865196" w:rsidRDefault="00865196">
      <w:r w:rsidRPr="00865196">
        <w:t>To ensure accountability, the program was designed with a outcome-based payment structure</w:t>
      </w:r>
      <w:r w:rsidR="006D7512">
        <w:t xml:space="preserve"> which </w:t>
      </w:r>
      <w:r w:rsidRPr="00865196">
        <w:t>incentivis</w:t>
      </w:r>
      <w:r w:rsidR="006D7512">
        <w:t>ed trainers</w:t>
      </w:r>
      <w:r w:rsidRPr="00865196">
        <w:t xml:space="preserve"> to ensure graduates achieved "gainful employment" (earning over 3,000 NRs per month) before the</w:t>
      </w:r>
      <w:r w:rsidR="006D7512">
        <w:t xml:space="preserve"> trainers</w:t>
      </w:r>
      <w:r w:rsidRPr="00865196">
        <w:t xml:space="preserve"> received their final payment instalments. This large-scale effort was facilitated and supported by international donors, including the Swiss Development Corporation (SDC), the UK’s Department for International Development (DFID), and the World Bank</w:t>
      </w:r>
      <w:r w:rsidR="006D7512">
        <w:t>.</w:t>
      </w:r>
    </w:p>
    <w:p w:rsidR="007A7F6B" w:rsidRDefault="005C396C">
      <w:pPr>
        <w:pStyle w:val="Heading1"/>
      </w:pPr>
      <w:r>
        <w:t>3. Causal Methodology</w:t>
      </w:r>
    </w:p>
    <w:p w:rsidR="007A7F6B" w:rsidRDefault="007A7F6B"/>
    <w:p w:rsidR="007A7F6B" w:rsidRDefault="005C396C">
      <w:r>
        <w:rPr>
          <w:b/>
          <w:bCs/>
        </w:rPr>
        <w:t xml:space="preserve">Design: </w:t>
      </w:r>
      <w:r w:rsidR="00697D7B">
        <w:t>Regression Discontinuity Design (RDD)</w:t>
      </w:r>
    </w:p>
    <w:p w:rsidR="007A7F6B" w:rsidRDefault="007A7F6B"/>
    <w:p w:rsidR="007A7F6B" w:rsidRDefault="005C396C">
      <w:pPr>
        <w:pStyle w:val="Heading2"/>
      </w:pPr>
      <w:r>
        <w:t>The Core Idea</w:t>
      </w:r>
    </w:p>
    <w:p w:rsidR="00074765" w:rsidRDefault="00074765"/>
    <w:p w:rsidR="007A7F6B" w:rsidRDefault="00074765">
      <w:r w:rsidRPr="00074765">
        <w:t>Eligibility for the vocational training was determined by a standardised application score; those who scored at or above a specific threshold were admitted, while those below were not. For individuals sitting right at the boundary—for example, comparing someone who scored a 70 with someone who scored a 71—the difference in their personal qualities is essentially random.</w:t>
      </w:r>
      <w:r w:rsidR="002E73C9">
        <w:t xml:space="preserve"> </w:t>
      </w:r>
      <w:r w:rsidR="00697D7B">
        <w:t>Hence,</w:t>
      </w:r>
      <w:r w:rsidRPr="00074765">
        <w:t xml:space="preserve"> any subsequent gap in their </w:t>
      </w:r>
      <w:r w:rsidR="00E023AB">
        <w:t>labor</w:t>
      </w:r>
      <w:r w:rsidRPr="00074765">
        <w:t xml:space="preserve"> market success can be believed to be caused by the training itself rather than their pre-existing abilities or motivation</w:t>
      </w:r>
      <w:r w:rsidR="002E73C9">
        <w:t>.</w:t>
      </w:r>
    </w:p>
    <w:p w:rsidR="007A7F6B" w:rsidRDefault="005C396C">
      <w:pPr>
        <w:pStyle w:val="Heading2"/>
      </w:pPr>
      <w:r>
        <w:t>Key Assumptions</w:t>
      </w:r>
    </w:p>
    <w:p w:rsidR="007A7F6B" w:rsidRDefault="007A7F6B"/>
    <w:p w:rsidR="00074765" w:rsidRDefault="00074765">
      <w:pPr>
        <w:rPr>
          <w:rStyle w:val="ng-star-inserted"/>
        </w:rPr>
      </w:pPr>
      <w:r>
        <w:rPr>
          <w:rStyle w:val="ng-star-inserted"/>
        </w:rPr>
        <w:t>Applicants must not have been able to perfectly "game" the system to place themselves just above the cut-off</w:t>
      </w:r>
    </w:p>
    <w:p w:rsidR="00074765" w:rsidRDefault="00074765">
      <w:pPr>
        <w:rPr>
          <w:rStyle w:val="ng-star-inserted"/>
        </w:rPr>
      </w:pPr>
    </w:p>
    <w:p w:rsidR="00074765" w:rsidRDefault="00F10198">
      <w:r w:rsidRPr="00F10198">
        <w:lastRenderedPageBreak/>
        <w:t>All other factors that could influence employment (such as age, intelligence, or baseline poverty) must vary smoothly across the threshold. Only the probability of receiving training should "jump" at the cut-off point</w:t>
      </w:r>
    </w:p>
    <w:p w:rsidR="007A7F6B" w:rsidRDefault="005C396C">
      <w:pPr>
        <w:pStyle w:val="Heading2"/>
      </w:pPr>
      <w:r>
        <w:t>Robustness</w:t>
      </w:r>
    </w:p>
    <w:p w:rsidR="002E73C9" w:rsidRPr="002E73C9" w:rsidRDefault="002E73C9" w:rsidP="002E73C9">
      <w:pPr>
        <w:pStyle w:val="Heading1"/>
        <w:rPr>
          <w:b w:val="0"/>
          <w:bCs w:val="0"/>
          <w:color w:val="auto"/>
          <w:sz w:val="22"/>
          <w:szCs w:val="22"/>
        </w:rPr>
      </w:pPr>
      <w:r w:rsidRPr="002E73C9">
        <w:rPr>
          <w:b w:val="0"/>
          <w:bCs w:val="0"/>
          <w:color w:val="auto"/>
          <w:sz w:val="22"/>
          <w:szCs w:val="22"/>
        </w:rPr>
        <w:t>The paper conducts five robustness checks to validate their findings:</w:t>
      </w:r>
    </w:p>
    <w:p w:rsidR="002E73C9" w:rsidRPr="002E73C9" w:rsidRDefault="002E73C9" w:rsidP="002E73C9">
      <w:pPr>
        <w:pStyle w:val="Heading1"/>
        <w:rPr>
          <w:b w:val="0"/>
          <w:bCs w:val="0"/>
          <w:color w:val="auto"/>
          <w:sz w:val="22"/>
          <w:szCs w:val="22"/>
        </w:rPr>
      </w:pPr>
      <w:r w:rsidRPr="002E73C9">
        <w:rPr>
          <w:b w:val="0"/>
          <w:bCs w:val="0"/>
          <w:color w:val="auto"/>
          <w:sz w:val="22"/>
          <w:szCs w:val="22"/>
        </w:rPr>
        <w:t>1) Admission Manipulation Test - The authors address concerns that training providers may have manipulated admission scores to favor employable candidates, disadvantaged groups, or those offering bribes (to maximize their performance-based payments). Following Miller et al.'s methodology, they reconstruct assignments using all five component scores rather than the composite score, finding that original results hold and may actually be conservative estimates.</w:t>
      </w:r>
    </w:p>
    <w:p w:rsidR="002E73C9" w:rsidRPr="002E73C9" w:rsidRDefault="002E73C9" w:rsidP="002E73C9">
      <w:pPr>
        <w:pStyle w:val="Heading1"/>
        <w:rPr>
          <w:b w:val="0"/>
          <w:bCs w:val="0"/>
          <w:color w:val="auto"/>
          <w:sz w:val="22"/>
          <w:szCs w:val="22"/>
        </w:rPr>
      </w:pPr>
      <w:r w:rsidRPr="002E73C9">
        <w:rPr>
          <w:b w:val="0"/>
          <w:bCs w:val="0"/>
          <w:color w:val="auto"/>
          <w:sz w:val="22"/>
          <w:szCs w:val="22"/>
        </w:rPr>
        <w:t>2) Extended Follow-up Survey - To rule out that employment effects at 9-11 months simply reflect providers gaming the system (since final payments required verified employment), they conducted a second survey 21-23 months post-training. Results remain largely consistent with the first follow-up, though some variation emerges between male and female estimates, suggesting genuine employment effects rather than temporary placement.</w:t>
      </w:r>
    </w:p>
    <w:p w:rsidR="002E73C9" w:rsidRPr="002E73C9" w:rsidRDefault="002E73C9" w:rsidP="002E73C9">
      <w:pPr>
        <w:pStyle w:val="Heading1"/>
        <w:rPr>
          <w:b w:val="0"/>
          <w:bCs w:val="0"/>
          <w:color w:val="auto"/>
          <w:sz w:val="22"/>
          <w:szCs w:val="22"/>
        </w:rPr>
      </w:pPr>
      <w:r w:rsidRPr="002E73C9">
        <w:rPr>
          <w:b w:val="0"/>
          <w:bCs w:val="0"/>
          <w:color w:val="auto"/>
          <w:sz w:val="22"/>
          <w:szCs w:val="22"/>
        </w:rPr>
        <w:t>3) External Validation with Administrative Data - The paper cross-validates self-reported survey data against official Employment Fund (EF) verification records from 2011-2013. Self-reported outcomes align well with administrative trajectories, confirming data reliability.</w:t>
      </w:r>
    </w:p>
    <w:p w:rsidR="002E73C9" w:rsidRPr="002E73C9" w:rsidRDefault="002E73C9" w:rsidP="002E73C9">
      <w:pPr>
        <w:pStyle w:val="Heading1"/>
        <w:rPr>
          <w:b w:val="0"/>
          <w:bCs w:val="0"/>
          <w:color w:val="auto"/>
          <w:sz w:val="22"/>
          <w:szCs w:val="22"/>
        </w:rPr>
      </w:pPr>
      <w:r w:rsidRPr="002E73C9">
        <w:rPr>
          <w:b w:val="0"/>
          <w:bCs w:val="0"/>
          <w:color w:val="auto"/>
          <w:sz w:val="22"/>
          <w:szCs w:val="22"/>
        </w:rPr>
        <w:t>4) Bandwidth Sensitivity Analysis - Re-estimating the regression discontinuity design with various bandwidths (2, 3, 4, 5, and 10 index points) produces stable coefficients and statistical significance, indicating results aren't sensitive to specification choices.</w:t>
      </w:r>
    </w:p>
    <w:p w:rsidR="002E73C9" w:rsidRPr="002E73C9" w:rsidRDefault="002E73C9" w:rsidP="002E73C9">
      <w:pPr>
        <w:pStyle w:val="Heading1"/>
        <w:rPr>
          <w:b w:val="0"/>
          <w:bCs w:val="0"/>
          <w:color w:val="auto"/>
          <w:sz w:val="22"/>
          <w:szCs w:val="22"/>
        </w:rPr>
      </w:pPr>
      <w:r w:rsidRPr="002E73C9">
        <w:rPr>
          <w:b w:val="0"/>
          <w:bCs w:val="0"/>
          <w:color w:val="auto"/>
          <w:sz w:val="22"/>
          <w:szCs w:val="22"/>
        </w:rPr>
        <w:t>5) Propensity Score Matching - As an alternative identification strategy, propensity score matching yields results consistent with the RDD estimates, confirming findings aren't method-dependent.</w:t>
      </w:r>
    </w:p>
    <w:p w:rsidR="002E73C9" w:rsidRDefault="002E73C9" w:rsidP="002E73C9">
      <w:pPr>
        <w:pStyle w:val="Heading1"/>
        <w:rPr>
          <w:b w:val="0"/>
          <w:bCs w:val="0"/>
          <w:color w:val="auto"/>
          <w:sz w:val="22"/>
          <w:szCs w:val="22"/>
        </w:rPr>
      </w:pPr>
      <w:r w:rsidRPr="002E73C9">
        <w:rPr>
          <w:b w:val="0"/>
          <w:bCs w:val="0"/>
          <w:color w:val="auto"/>
          <w:sz w:val="22"/>
          <w:szCs w:val="22"/>
        </w:rPr>
        <w:t>All checks support the main conclusions.</w:t>
      </w:r>
    </w:p>
    <w:p w:rsidR="007A7F6B" w:rsidRDefault="005C396C" w:rsidP="007A1239">
      <w:pPr>
        <w:pStyle w:val="Heading1"/>
      </w:pPr>
      <w:r>
        <w:t>4. Important Results</w:t>
      </w:r>
    </w:p>
    <w:p w:rsidR="007A7F6B" w:rsidRDefault="005C396C">
      <w:pPr>
        <w:pStyle w:val="Heading2"/>
      </w:pPr>
      <w:r>
        <w:t>Finding 1</w:t>
      </w:r>
    </w:p>
    <w:p w:rsidR="00966D6A" w:rsidRDefault="00966D6A"/>
    <w:p w:rsidR="00966D6A" w:rsidRDefault="00966D6A" w:rsidP="00BB09F9">
      <w:pPr>
        <w:pStyle w:val="ListParagraph"/>
        <w:numPr>
          <w:ilvl w:val="0"/>
          <w:numId w:val="2"/>
        </w:numPr>
      </w:pPr>
      <w:r>
        <w:t>Participation in the vocational training program significantly increased the likelihood of participants obtaining non-farm employment, with the effect being particularly transformative for women</w:t>
      </w:r>
    </w:p>
    <w:p w:rsidR="00966D6A" w:rsidRDefault="00966D6A" w:rsidP="00966D6A"/>
    <w:p w:rsidR="00966D6A" w:rsidRDefault="00966D6A" w:rsidP="00BB09F9">
      <w:pPr>
        <w:pStyle w:val="ListParagraph"/>
        <w:numPr>
          <w:ilvl w:val="0"/>
          <w:numId w:val="2"/>
        </w:numPr>
      </w:pPr>
      <w:r>
        <w:t>Intent-to-treat (ITT) estimates show a 10 percentage point increase in non-farm employment, while the impact on those who actually complied with the training (LATE) was as high as 31 percentage points</w:t>
      </w:r>
      <w:r w:rsidR="00BB09F9">
        <w:t xml:space="preserve">. </w:t>
      </w:r>
    </w:p>
    <w:p w:rsidR="00966D6A" w:rsidRDefault="00966D6A" w:rsidP="00966D6A"/>
    <w:p w:rsidR="003E37FD" w:rsidRDefault="00966D6A" w:rsidP="00DA398B">
      <w:pPr>
        <w:pStyle w:val="ListParagraph"/>
        <w:numPr>
          <w:ilvl w:val="0"/>
          <w:numId w:val="2"/>
        </w:numPr>
      </w:pPr>
      <w:r>
        <w:t>These estimates are highly statistically significant at the 1% level</w:t>
      </w:r>
      <w:r w:rsidR="00BB09F9">
        <w:t xml:space="preserve">. </w:t>
      </w:r>
      <w:r>
        <w:t>The analysis is supported by very strong first-stage F-statistics ranging from 38 to 88</w:t>
      </w:r>
      <w:r w:rsidR="009E3D5A">
        <w:t>. (F-statistic greater than 30 is considered significant)</w:t>
      </w:r>
    </w:p>
    <w:p w:rsidR="00BB09F9" w:rsidRDefault="00BB09F9" w:rsidP="00BB09F9"/>
    <w:p w:rsidR="00966D6A" w:rsidRDefault="00966D6A" w:rsidP="00BB09F9">
      <w:pPr>
        <w:pStyle w:val="ListParagraph"/>
        <w:numPr>
          <w:ilvl w:val="0"/>
          <w:numId w:val="2"/>
        </w:numPr>
      </w:pPr>
      <w:r>
        <w:t>This effect size is exceptionally large; while similar programs in middle-income countries often find small or no effects, this study demonstrates that vocational training can be a powerful tool for employment in low-income contexts with low baseline education levels</w:t>
      </w:r>
    </w:p>
    <w:p w:rsidR="007A7F6B" w:rsidRDefault="007A7F6B"/>
    <w:p w:rsidR="007A7F6B" w:rsidRDefault="005C396C">
      <w:pPr>
        <w:pStyle w:val="Heading2"/>
      </w:pPr>
      <w:r>
        <w:t>Finding 2</w:t>
      </w:r>
    </w:p>
    <w:p w:rsidR="003E37FD" w:rsidRDefault="003E37FD" w:rsidP="00C15CF6">
      <w:pPr>
        <w:pStyle w:val="ListParagraph"/>
        <w:numPr>
          <w:ilvl w:val="0"/>
          <w:numId w:val="3"/>
        </w:numPr>
      </w:pPr>
      <w:r>
        <w:t>The intervention generated substantial and significant gains in monthly earnings for female participants</w:t>
      </w:r>
      <w:r w:rsidR="00BB09F9">
        <w:t>.</w:t>
      </w:r>
    </w:p>
    <w:p w:rsidR="003E37FD" w:rsidRDefault="003E37FD" w:rsidP="003E37FD"/>
    <w:p w:rsidR="00BB09F9" w:rsidRDefault="003E37FD" w:rsidP="00C15CF6">
      <w:pPr>
        <w:pStyle w:val="ListParagraph"/>
        <w:numPr>
          <w:ilvl w:val="0"/>
          <w:numId w:val="3"/>
        </w:numPr>
      </w:pPr>
      <w:r>
        <w:t>For women, the ITT estimate was an increase of 659 NRs per month, while the LATE estimate for compliers reached 2113 NRs</w:t>
      </w:r>
      <w:r w:rsidR="00BB09F9">
        <w:t xml:space="preserve">. </w:t>
      </w:r>
      <w:r>
        <w:t>This represents a nearly threefold increase over the baseline monthly earnings for women, which were only 770 NRs</w:t>
      </w:r>
      <w:r w:rsidR="00BB09F9">
        <w:t xml:space="preserve">. </w:t>
      </w:r>
    </w:p>
    <w:p w:rsidR="00BB09F9" w:rsidRDefault="00BB09F9" w:rsidP="003E37FD"/>
    <w:p w:rsidR="003E37FD" w:rsidRDefault="003E37FD" w:rsidP="00C15CF6">
      <w:pPr>
        <w:pStyle w:val="ListParagraph"/>
        <w:numPr>
          <w:ilvl w:val="0"/>
          <w:numId w:val="3"/>
        </w:numPr>
      </w:pPr>
      <w:r>
        <w:t>These results are statistically significant at the 1% level</w:t>
      </w:r>
      <w:r w:rsidR="00BB09F9">
        <w:t xml:space="preserve">. </w:t>
      </w:r>
    </w:p>
    <w:p w:rsidR="00C15CF6" w:rsidRDefault="00C15CF6" w:rsidP="003E37FD"/>
    <w:p w:rsidR="007A7F6B" w:rsidRDefault="003E37FD" w:rsidP="00C15CF6">
      <w:pPr>
        <w:pStyle w:val="ListParagraph"/>
        <w:numPr>
          <w:ilvl w:val="0"/>
          <w:numId w:val="3"/>
        </w:numPr>
      </w:pPr>
      <w:r>
        <w:t>An increase of 2113 NRs is highly significant in the Nepali context, where a large portion of the population lives in poverty and baseline human capital is low</w:t>
      </w:r>
      <w:r w:rsidR="00C15CF6">
        <w:t>.</w:t>
      </w:r>
    </w:p>
    <w:p w:rsidR="007A7F6B" w:rsidRDefault="005C396C">
      <w:pPr>
        <w:pStyle w:val="Heading2"/>
      </w:pPr>
      <w:r>
        <w:t>Finding 3</w:t>
      </w:r>
    </w:p>
    <w:p w:rsidR="003E37FD" w:rsidRDefault="003E37FD" w:rsidP="003E37FD"/>
    <w:p w:rsidR="003E37FD" w:rsidRDefault="003E37FD" w:rsidP="00EC43ED">
      <w:pPr>
        <w:pStyle w:val="ListParagraph"/>
        <w:numPr>
          <w:ilvl w:val="0"/>
          <w:numId w:val="4"/>
        </w:numPr>
      </w:pPr>
      <w:r>
        <w:t>The employment impacts for women were almost entirely driven by self-employment activities conducted inside the home rather than wage-employment outside the home</w:t>
      </w:r>
      <w:r w:rsidR="00CA0D60">
        <w:t>.</w:t>
      </w:r>
    </w:p>
    <w:p w:rsidR="003E37FD" w:rsidRDefault="003E37FD" w:rsidP="003E37FD"/>
    <w:p w:rsidR="003E37FD" w:rsidRDefault="003E37FD" w:rsidP="00EC43ED">
      <w:pPr>
        <w:pStyle w:val="ListParagraph"/>
        <w:numPr>
          <w:ilvl w:val="0"/>
          <w:numId w:val="4"/>
        </w:numPr>
      </w:pPr>
      <w:r>
        <w:t>Non-farm self-employment increased by 30 percentage points for those who complied with the training</w:t>
      </w:r>
      <w:r w:rsidR="00C15CF6">
        <w:t xml:space="preserve">. </w:t>
      </w:r>
      <w:r>
        <w:t>Conversely, the study detected no statistically significant impacts on non-farm wage employment or activities conducted outside the house for women</w:t>
      </w:r>
    </w:p>
    <w:p w:rsidR="003E37FD" w:rsidRDefault="003E37FD" w:rsidP="003E37FD"/>
    <w:p w:rsidR="003E37FD" w:rsidRDefault="003E37FD" w:rsidP="00EC43ED">
      <w:pPr>
        <w:pStyle w:val="ListParagraph"/>
        <w:numPr>
          <w:ilvl w:val="0"/>
          <w:numId w:val="4"/>
        </w:numPr>
      </w:pPr>
      <w:r>
        <w:t>The increase in self-employment is statistically significant at the 5% level, and the gain in trade-specific income-generating activities is significant at the 1% level</w:t>
      </w:r>
    </w:p>
    <w:p w:rsidR="003E37FD" w:rsidRDefault="003E37FD" w:rsidP="003E37FD"/>
    <w:p w:rsidR="007A7F6B" w:rsidRDefault="003E37FD" w:rsidP="00EC43ED">
      <w:pPr>
        <w:pStyle w:val="ListParagraph"/>
        <w:numPr>
          <w:ilvl w:val="0"/>
          <w:numId w:val="4"/>
        </w:numPr>
      </w:pPr>
      <w:r>
        <w:t>This is practically significant because it suggests the program successfully navigated restrictive South Asian social and cultural norms that often prevent women from seeking employment outside the house by enabling them to earn an income while remaining close to household responsibilities</w:t>
      </w:r>
    </w:p>
    <w:p w:rsidR="009B3169" w:rsidRDefault="009B3169" w:rsidP="009B3169">
      <w:pPr>
        <w:pStyle w:val="ListParagraph"/>
      </w:pPr>
    </w:p>
    <w:p w:rsidR="009B3169" w:rsidRDefault="009B3169" w:rsidP="009B3169">
      <w:pPr>
        <w:pStyle w:val="ListParagraph"/>
      </w:pPr>
    </w:p>
    <w:p w:rsidR="009B3169" w:rsidRDefault="009B3169" w:rsidP="009B3169">
      <w:pPr>
        <w:pStyle w:val="Heading2"/>
      </w:pPr>
      <w:r>
        <w:t>Finding 4</w:t>
      </w:r>
    </w:p>
    <w:p w:rsidR="009B3169" w:rsidRDefault="009B3169" w:rsidP="009B3169"/>
    <w:p w:rsidR="009B3169" w:rsidRDefault="009B3169" w:rsidP="00E60527">
      <w:pPr>
        <w:pStyle w:val="ListParagraph"/>
        <w:numPr>
          <w:ilvl w:val="0"/>
          <w:numId w:val="6"/>
        </w:numPr>
      </w:pPr>
      <w:r>
        <w:t xml:space="preserve">The program yielded strikingly different returns based on gender, </w:t>
      </w:r>
      <w:r w:rsidR="00E60527">
        <w:t>with women gaining on the "extensive margin" (finding new jobs) while men gained on the "intensive margin" (improving existing earnings)</w:t>
      </w:r>
    </w:p>
    <w:p w:rsidR="00E60527" w:rsidRDefault="00E60527" w:rsidP="00E60527">
      <w:pPr>
        <w:pStyle w:val="ListParagraph"/>
      </w:pPr>
    </w:p>
    <w:p w:rsidR="009B3169" w:rsidRDefault="009B3169" w:rsidP="009B3169">
      <w:pPr>
        <w:pStyle w:val="ListParagraph"/>
        <w:numPr>
          <w:ilvl w:val="0"/>
          <w:numId w:val="6"/>
        </w:numPr>
      </w:pPr>
      <w:r>
        <w:t>Women saw an employment rate increase of up to 31 percentage points, whereas men did not show a statistically significant increase in their overall employment rate in the short term. However, men did see an increase in earnings conditional on being employed of at least 698 NRs, suggesting they used the program to upgrade existing skills</w:t>
      </w:r>
    </w:p>
    <w:p w:rsidR="009B3169" w:rsidRDefault="009B3169" w:rsidP="009B3169"/>
    <w:p w:rsidR="009B3169" w:rsidRDefault="009B3169" w:rsidP="009B3169">
      <w:pPr>
        <w:pStyle w:val="ListParagraph"/>
        <w:numPr>
          <w:ilvl w:val="0"/>
          <w:numId w:val="6"/>
        </w:numPr>
      </w:pPr>
      <w:r>
        <w:lastRenderedPageBreak/>
        <w:t>The results for women are robustly significant across nearly all categories; for men, only the conditional earnings gain reached statistical significance (at the 10% level)</w:t>
      </w:r>
    </w:p>
    <w:p w:rsidR="009B3169" w:rsidRDefault="009B3169" w:rsidP="009B3169"/>
    <w:p w:rsidR="009B3169" w:rsidRPr="009B3169" w:rsidRDefault="009B3169" w:rsidP="009B3169">
      <w:pPr>
        <w:pStyle w:val="ListParagraph"/>
        <w:numPr>
          <w:ilvl w:val="0"/>
          <w:numId w:val="6"/>
        </w:numPr>
      </w:pPr>
      <w:r>
        <w:t>This highlights that vocational training, in this pa</w:t>
      </w:r>
      <w:r w:rsidR="00E023AB">
        <w:t>r</w:t>
      </w:r>
      <w:r>
        <w:t>ticular social context, functions as a primary entry point into the labor market for underemployed women but serves more as a upskilling function for men</w:t>
      </w:r>
    </w:p>
    <w:p w:rsidR="009B3169" w:rsidRDefault="009B3169" w:rsidP="009B3169">
      <w:pPr>
        <w:pStyle w:val="Heading2"/>
      </w:pPr>
      <w:r>
        <w:t>Finding 5</w:t>
      </w:r>
    </w:p>
    <w:p w:rsidR="009B3169" w:rsidRDefault="009B3169" w:rsidP="009B3169"/>
    <w:p w:rsidR="009B3169" w:rsidRDefault="009B3169" w:rsidP="009B3169">
      <w:pPr>
        <w:pStyle w:val="ListParagraph"/>
        <w:numPr>
          <w:ilvl w:val="0"/>
          <w:numId w:val="5"/>
        </w:numPr>
      </w:pPr>
      <w:r>
        <w:t>In the medium term (24 months after the start of the program), men showed gains on the extensive margin (finding new non-farm employment), while female medium-term employment and earnings effects stay in a similar range compared to the short-term effects.</w:t>
      </w:r>
    </w:p>
    <w:p w:rsidR="009B3169" w:rsidRDefault="009B3169" w:rsidP="009B3169"/>
    <w:p w:rsidR="009B3169" w:rsidRDefault="009B3169" w:rsidP="009B3169">
      <w:pPr>
        <w:pStyle w:val="ListParagraph"/>
        <w:numPr>
          <w:ilvl w:val="0"/>
          <w:numId w:val="5"/>
        </w:numPr>
      </w:pPr>
      <w:r>
        <w:t>For men, the likelihood of entering non-farm (self)-employment increased by at least 19 percentage points according to intent-to-treat (ITT) estimates. Female employment and earnings effects remained in a range similar to their short-term gains possibly due to the lower statistical power.</w:t>
      </w:r>
    </w:p>
    <w:p w:rsidR="009B3169" w:rsidRDefault="009B3169" w:rsidP="009B3169"/>
    <w:p w:rsidR="009B3169" w:rsidRDefault="009B3169" w:rsidP="009B3169">
      <w:pPr>
        <w:pStyle w:val="ListParagraph"/>
        <w:numPr>
          <w:ilvl w:val="0"/>
          <w:numId w:val="5"/>
        </w:numPr>
      </w:pPr>
      <w:r>
        <w:t>These results are considered "suggestive evidence" because they are based on a small sub-sample (approximately half of the initial 2010 cohort). For men, the 19 percentage point ITT increase was statistically significant at the 10% level. For women, the loss of significance is attributed to lower statistical power resulting from the reduced sample size rather than a disappearance of the program's effect.</w:t>
      </w:r>
    </w:p>
    <w:p w:rsidR="009B3169" w:rsidRDefault="009B3169" w:rsidP="009B3169"/>
    <w:p w:rsidR="009B3169" w:rsidRPr="009B3169" w:rsidRDefault="009B3169" w:rsidP="009B3169">
      <w:pPr>
        <w:pStyle w:val="ListParagraph"/>
        <w:numPr>
          <w:ilvl w:val="0"/>
          <w:numId w:val="5"/>
        </w:numPr>
      </w:pPr>
      <w:r>
        <w:t>This finding is practically significant as it indicates that the full economic benefits of vocational training in low-income contexts may take up to two years to fully manifest for male workers</w:t>
      </w:r>
    </w:p>
    <w:p w:rsidR="007A7F6B" w:rsidRDefault="007A7F6B"/>
    <w:p w:rsidR="007A7F6B" w:rsidRDefault="005C396C" w:rsidP="00C4091D">
      <w:pPr>
        <w:pStyle w:val="Heading2"/>
        <w:rPr>
          <w:b w:val="0"/>
          <w:bCs w:val="0"/>
          <w:i/>
          <w:iCs/>
          <w:color w:val="7F8C8D"/>
          <w:sz w:val="20"/>
          <w:szCs w:val="20"/>
        </w:rPr>
      </w:pPr>
      <w:r>
        <w:t>Heterogeneity</w:t>
      </w:r>
    </w:p>
    <w:p w:rsidR="00C4091D" w:rsidRPr="00C4091D" w:rsidRDefault="00C4091D" w:rsidP="00C4091D"/>
    <w:p w:rsidR="003E37FD" w:rsidRDefault="00C87EFF">
      <w:r>
        <w:rPr>
          <w:rStyle w:val="ng-star-inserted"/>
        </w:rPr>
        <w:t>The effects of the vocational training program in Nepal differed dramatically across various subgroups, most notably by gender and trade</w:t>
      </w:r>
      <w:r>
        <w:t>.</w:t>
      </w:r>
    </w:p>
    <w:p w:rsidR="00C87EFF" w:rsidRDefault="00C87EFF"/>
    <w:p w:rsidR="00C87EFF" w:rsidRDefault="00C87EFF">
      <w:r>
        <w:t>Gender Differences:</w:t>
      </w:r>
    </w:p>
    <w:p w:rsidR="00C87EFF" w:rsidRDefault="00C87EFF" w:rsidP="00C87EFF"/>
    <w:p w:rsidR="00C87EFF" w:rsidRDefault="00C87EFF" w:rsidP="00C87EFF">
      <w:r>
        <w:t>Women (Extensive Margin): The intervention was most transformative for women, who saw an increase in non-farm employment of up to 31 percentage points (LATE estimates). They gained primarily on the "extensive margin," meaning the program helped them obtain jobs they did not previously have.</w:t>
      </w:r>
    </w:p>
    <w:p w:rsidR="00C87EFF" w:rsidRDefault="00C87EFF" w:rsidP="00C87EFF"/>
    <w:p w:rsidR="00C87EFF" w:rsidRDefault="00C87EFF" w:rsidP="00C87EFF">
      <w:r>
        <w:t>Men (Intensive Margin): In the short term, men did not show a statistically significant increase in overall employment rates. Instead, they gained on the "intensive margin," using the training to upgrade existing skills, which led to a conditional earnings increase of at least 698 NRs</w:t>
      </w:r>
    </w:p>
    <w:p w:rsidR="00C87EFF" w:rsidRDefault="00C87EFF" w:rsidP="00C87EFF"/>
    <w:p w:rsidR="00C87EFF" w:rsidRDefault="00C87EFF" w:rsidP="00C87EFF">
      <w:r>
        <w:t>Interestingly, 24 months after the program, suggestive evidence shows that men eventually caught up on the extensive margin, with non-farm employment rates rising by 19 to 50 percentage points</w:t>
      </w:r>
    </w:p>
    <w:p w:rsidR="00C87EFF" w:rsidRDefault="00C87EFF" w:rsidP="00C87EFF"/>
    <w:p w:rsidR="00C87EFF" w:rsidRDefault="00C87EFF" w:rsidP="00C87EFF">
      <w:r w:rsidRPr="00C87EFF">
        <w:t>Trade Differences</w:t>
      </w:r>
      <w:r>
        <w:t>:</w:t>
      </w:r>
    </w:p>
    <w:p w:rsidR="00C87EFF" w:rsidRDefault="00C87EFF" w:rsidP="00C87EFF"/>
    <w:p w:rsidR="00C87EFF" w:rsidRDefault="00C87EFF" w:rsidP="00C87EFF">
      <w:r>
        <w:lastRenderedPageBreak/>
        <w:t>High-Impact Trades: Positive outcomes were concentrated in beautician and tailoring courses, which are almost exclusively female-dominated in Nepal. These graduates were significantly more likely to find work within their trained field.</w:t>
      </w:r>
    </w:p>
    <w:p w:rsidR="00C87EFF" w:rsidRDefault="00C87EFF" w:rsidP="00C87EFF"/>
    <w:p w:rsidR="00C87EFF" w:rsidRDefault="00C87EFF" w:rsidP="00C4091D">
      <w:r>
        <w:t xml:space="preserve">Low-Impact Trades: For trades like food preparation, hospitality, and construction, the researchers found no conclusive or significant positive impacts on </w:t>
      </w:r>
      <w:r w:rsidR="00E023AB">
        <w:t>labor</w:t>
      </w:r>
      <w:r>
        <w:t xml:space="preserve"> market outcomes.</w:t>
      </w:r>
    </w:p>
    <w:p w:rsidR="007A7F6B" w:rsidRDefault="005C396C">
      <w:pPr>
        <w:pStyle w:val="Heading1"/>
      </w:pPr>
      <w:r>
        <w:t>5. Limitations &amp; Open Questions</w:t>
      </w:r>
    </w:p>
    <w:p w:rsidR="007A7F6B" w:rsidRDefault="007A7F6B"/>
    <w:p w:rsidR="007A7F6B" w:rsidRPr="008044FD" w:rsidRDefault="005C396C">
      <w:r>
        <w:rPr>
          <w:b/>
          <w:bCs/>
        </w:rPr>
        <w:t xml:space="preserve">External Validity Concerns: </w:t>
      </w:r>
      <w:r w:rsidR="00CC131F">
        <w:t>Results may not generalize to contexts with different cultural norms around women's work or different labor market conditions</w:t>
      </w:r>
      <w:r w:rsidR="00CC131F">
        <w:t>.</w:t>
      </w:r>
    </w:p>
    <w:p w:rsidR="007A7F6B" w:rsidRDefault="007A7F6B"/>
    <w:p w:rsidR="00CC131F" w:rsidRDefault="005C396C" w:rsidP="00CC131F">
      <w:pPr>
        <w:rPr>
          <w:b/>
          <w:bCs/>
        </w:rPr>
      </w:pPr>
      <w:r>
        <w:rPr>
          <w:b/>
          <w:bCs/>
        </w:rPr>
        <w:t>Unanswered Questions:</w:t>
      </w:r>
    </w:p>
    <w:p w:rsidR="00CC131F" w:rsidRDefault="00CC131F" w:rsidP="00CC131F">
      <w:pPr>
        <w:pStyle w:val="ListParagraph"/>
        <w:numPr>
          <w:ilvl w:val="0"/>
          <w:numId w:val="9"/>
        </w:numPr>
      </w:pPr>
      <w:r>
        <w:t>Did the employment gains for trainees come at the expense of non-trainees (displacement effects)?</w:t>
      </w:r>
    </w:p>
    <w:p w:rsidR="00CC131F" w:rsidRDefault="00CC131F" w:rsidP="00CC131F">
      <w:pPr>
        <w:pStyle w:val="ListParagraph"/>
        <w:numPr>
          <w:ilvl w:val="0"/>
          <w:numId w:val="9"/>
        </w:numPr>
      </w:pPr>
      <w:r>
        <w:t>Would programs specifically designed for persons with disabilities or other marginalized groups yield even larger returns?</w:t>
      </w:r>
    </w:p>
    <w:p w:rsidR="008044FD" w:rsidRDefault="00CC131F" w:rsidP="00CC131F">
      <w:pPr>
        <w:pStyle w:val="ListParagraph"/>
        <w:numPr>
          <w:ilvl w:val="0"/>
          <w:numId w:val="9"/>
        </w:numPr>
      </w:pPr>
      <w:r>
        <w:t>What are the long-term impacts beyond 24 months? Do employment and earnings gains persist?</w:t>
      </w:r>
    </w:p>
    <w:p w:rsidR="00CC131F" w:rsidRDefault="00CC131F" w:rsidP="00CC131F">
      <w:pPr>
        <w:pStyle w:val="ListParagraph"/>
      </w:pPr>
    </w:p>
    <w:p w:rsidR="007A7F6B" w:rsidRDefault="005C396C">
      <w:r>
        <w:rPr>
          <w:b/>
          <w:bCs/>
        </w:rPr>
        <w:t xml:space="preserve">Future Research Needed: </w:t>
      </w:r>
      <w:r w:rsidR="00CC131F">
        <w:t>Economy-wide effects</w:t>
      </w:r>
      <w:r w:rsidR="00CC131F">
        <w:t>(general equillibr</w:t>
      </w:r>
      <w:r w:rsidR="00E60527">
        <w:t>i</w:t>
      </w:r>
      <w:r w:rsidR="00CC131F">
        <w:t>um effects)</w:t>
      </w:r>
      <w:r w:rsidR="00CC131F">
        <w:t xml:space="preserve"> including whether new jobs created by trainees simply displace other workers, and whether training generates broader economic multiplier effects through increased household spending and business creation.</w:t>
      </w:r>
      <w:r w:rsidR="00BC08E7">
        <w:t xml:space="preserve"> </w:t>
      </w:r>
    </w:p>
    <w:p w:rsidR="007A7F6B" w:rsidRDefault="005C396C" w:rsidP="00C4091D">
      <w:pPr>
        <w:pStyle w:val="Heading1"/>
      </w:pPr>
      <w:r>
        <w:t>6. Applicability to Nepal</w:t>
      </w:r>
    </w:p>
    <w:p w:rsidR="007A7F6B" w:rsidRDefault="005C396C">
      <w:pPr>
        <w:pStyle w:val="Heading2"/>
      </w:pPr>
      <w:r>
        <w:t>Contextual Similarity</w:t>
      </w:r>
    </w:p>
    <w:p w:rsidR="007A7F6B" w:rsidRDefault="00CC131F">
      <w:r w:rsidRPr="00CC131F">
        <w:t>This study was conducted in Nepal, making it directly applicable to the current policy context. The population studie</w:t>
      </w:r>
      <w:r>
        <w:t>d---</w:t>
      </w:r>
      <w:r w:rsidRPr="00CC131F">
        <w:t>poor youth aged 16-35 with low baseline education</w:t>
      </w:r>
      <w:r>
        <w:t>---</w:t>
      </w:r>
      <w:r w:rsidRPr="00CC131F">
        <w:t>closely mirrors Nepal's current disadvantaged youth demographics. However, the</w:t>
      </w:r>
      <w:r>
        <w:t xml:space="preserve"> program</w:t>
      </w:r>
      <w:r w:rsidRPr="00CC131F">
        <w:t xml:space="preserve"> was conducted between 2010-2012, and Nepal's economy and labor market have evolved since then, with increased urbanization and potentially improved baseline education levels. The cultural constraints on women's mobility remain largely unchanged in many rural areas, making the findings on home-based self-employment still highly relevant</w:t>
      </w:r>
    </w:p>
    <w:p w:rsidR="007A7F6B" w:rsidRDefault="005C396C">
      <w:pPr>
        <w:pStyle w:val="Heading2"/>
      </w:pPr>
      <w:r>
        <w:t>Implementation Considerations</w:t>
      </w:r>
    </w:p>
    <w:p w:rsidR="00C4091D" w:rsidRDefault="00C4091D">
      <w:pPr>
        <w:rPr>
          <w:i/>
          <w:iCs/>
          <w:color w:val="7F8C8D"/>
          <w:sz w:val="20"/>
          <w:szCs w:val="20"/>
        </w:rPr>
      </w:pPr>
    </w:p>
    <w:p w:rsidR="007A7F6B" w:rsidRDefault="0047409A">
      <w:r>
        <w:t>Key elements for successful replication or scaling include:</w:t>
      </w:r>
    </w:p>
    <w:p w:rsidR="0047409A" w:rsidRDefault="0047409A"/>
    <w:p w:rsidR="0047409A" w:rsidRDefault="0047409A" w:rsidP="0047409A">
      <w:pPr>
        <w:pStyle w:val="ListParagraph"/>
        <w:numPr>
          <w:ilvl w:val="0"/>
          <w:numId w:val="10"/>
        </w:numPr>
      </w:pPr>
      <w:r>
        <w:t>Outcome-based payment structure: Trainers receive final payments only after graduates achieve gainful employment, ensuring accountability</w:t>
      </w:r>
    </w:p>
    <w:p w:rsidR="0047409A" w:rsidRDefault="0047409A" w:rsidP="0047409A">
      <w:pPr>
        <w:pStyle w:val="ListParagraph"/>
        <w:numPr>
          <w:ilvl w:val="0"/>
          <w:numId w:val="10"/>
        </w:numPr>
      </w:pPr>
      <w:r>
        <w:t>Market-oriented curriculum: Training offerings must align with actual labor market demands, not just traditional trades</w:t>
      </w:r>
    </w:p>
    <w:p w:rsidR="0047409A" w:rsidRDefault="0047409A" w:rsidP="0047409A">
      <w:pPr>
        <w:pStyle w:val="ListParagraph"/>
        <w:numPr>
          <w:ilvl w:val="0"/>
          <w:numId w:val="10"/>
        </w:numPr>
      </w:pPr>
      <w:r>
        <w:t>Gender-sensitive design: Programs must account for women's mobility constraints by incorporating home-based income generation options</w:t>
      </w:r>
    </w:p>
    <w:p w:rsidR="0047409A" w:rsidRDefault="0047409A" w:rsidP="0047409A">
      <w:pPr>
        <w:pStyle w:val="ListParagraph"/>
        <w:numPr>
          <w:ilvl w:val="0"/>
          <w:numId w:val="10"/>
        </w:numPr>
      </w:pPr>
      <w:r>
        <w:t>Local partnership model: Working with local training providers who understand regional labor markets and cultural contexts</w:t>
      </w:r>
    </w:p>
    <w:p w:rsidR="0047409A" w:rsidRDefault="0047409A" w:rsidP="0047409A">
      <w:pPr>
        <w:pStyle w:val="ListParagraph"/>
        <w:numPr>
          <w:ilvl w:val="0"/>
          <w:numId w:val="10"/>
        </w:numPr>
      </w:pPr>
      <w:r>
        <w:t>Adequate funding: The original program required substantial international donor support (SDC, DFID, World Bank)</w:t>
      </w:r>
    </w:p>
    <w:p w:rsidR="007A7F6B" w:rsidRDefault="005C396C">
      <w:pPr>
        <w:pStyle w:val="Heading2"/>
      </w:pPr>
      <w:r>
        <w:t>Existing Evidence from Nepal</w:t>
      </w:r>
    </w:p>
    <w:p w:rsidR="007A7F6B" w:rsidRDefault="005C396C">
      <w:pPr>
        <w:pBdr>
          <w:top w:val="nil"/>
          <w:left w:val="nil"/>
          <w:bottom w:val="nil"/>
          <w:right w:val="nil"/>
          <w:between w:val="nil"/>
        </w:pBdr>
        <w:spacing w:before="60" w:after="60"/>
        <w:rPr>
          <w:i/>
          <w:iCs/>
          <w:color w:val="7F8C8D"/>
          <w:sz w:val="20"/>
          <w:szCs w:val="20"/>
        </w:rPr>
      </w:pPr>
      <w:r>
        <w:rPr>
          <w:i/>
          <w:iCs/>
          <w:color w:val="7F8C8D"/>
          <w:sz w:val="20"/>
          <w:szCs w:val="20"/>
        </w:rPr>
        <w:lastRenderedPageBreak/>
        <w:t xml:space="preserve"> </w:t>
      </w:r>
    </w:p>
    <w:p w:rsidR="007A7F6B" w:rsidRDefault="0047409A">
      <w:r>
        <w:t>Beyond this study, Baral et al. (2025) confirm ongoing challenges with CTEVT's curriculum alignment, finding persistent gaps between training offerings and labor market needs</w:t>
      </w:r>
      <w:r>
        <w:t xml:space="preserve">. </w:t>
      </w:r>
      <w:r>
        <w:t>Th</w:t>
      </w:r>
      <w:r>
        <w:t>is mis</w:t>
      </w:r>
      <w:r>
        <w:t>alignment strengthens the case for reforming CTEVT's curriculum to better match labor market demands</w:t>
      </w:r>
      <w:r>
        <w:t>.</w:t>
      </w:r>
    </w:p>
    <w:p w:rsidR="007A7F6B" w:rsidRDefault="007A7F6B"/>
    <w:p w:rsidR="007A7F6B" w:rsidRDefault="005C396C">
      <w:pPr>
        <w:pStyle w:val="Heading2"/>
      </w:pPr>
      <w:r>
        <w:t>Policy Entry Points</w:t>
      </w:r>
    </w:p>
    <w:p w:rsidR="0047409A" w:rsidRDefault="0047409A">
      <w:pPr>
        <w:rPr>
          <w:i/>
          <w:iCs/>
          <w:color w:val="7F8C8D"/>
          <w:sz w:val="20"/>
          <w:szCs w:val="20"/>
        </w:rPr>
      </w:pPr>
    </w:p>
    <w:p w:rsidR="007A7F6B" w:rsidRDefault="006B3CB1">
      <w:r>
        <w:t xml:space="preserve">The crux of this paper is that </w:t>
      </w:r>
      <w:r w:rsidR="00E023AB">
        <w:t>labor</w:t>
      </w:r>
      <w:r>
        <w:t xml:space="preserve"> market outcomes can be improved through vocational training however the realization of its effects requires tailored programs. </w:t>
      </w:r>
    </w:p>
    <w:p w:rsidR="006B3CB1" w:rsidRDefault="006B3CB1"/>
    <w:p w:rsidR="006B3CB1" w:rsidRDefault="006B3CB1">
      <w:pPr>
        <w:rPr>
          <w:rStyle w:val="ng-star-inserted"/>
        </w:rPr>
      </w:pPr>
      <w:r>
        <w:t xml:space="preserve">CTEVT is the premier vocational training provider in Nepal. There, however, exists </w:t>
      </w:r>
      <w:r>
        <w:rPr>
          <w:rStyle w:val="ng-star-inserted"/>
        </w:rPr>
        <w:t>a critical misalignment between current educational offerings</w:t>
      </w:r>
      <w:r w:rsidR="006A0734">
        <w:rPr>
          <w:rStyle w:val="ng-star-inserted"/>
        </w:rPr>
        <w:t xml:space="preserve"> by CTEVT</w:t>
      </w:r>
      <w:r>
        <w:rPr>
          <w:rStyle w:val="ng-star-inserted"/>
        </w:rPr>
        <w:t xml:space="preserve"> and labor market demands</w:t>
      </w:r>
      <w:r w:rsidR="006A0734">
        <w:rPr>
          <w:rStyle w:val="ng-star-inserted"/>
        </w:rPr>
        <w:t>(Baral et al., 2025). The program could realize larger effects from tailoring its curriculum to meet the market demands</w:t>
      </w:r>
      <w:r w:rsidR="0047409A">
        <w:rPr>
          <w:rStyle w:val="ng-star-inserted"/>
        </w:rPr>
        <w:t>. Some recommendations for CTEVT include:</w:t>
      </w:r>
    </w:p>
    <w:p w:rsidR="0047409A" w:rsidRDefault="0047409A">
      <w:pPr>
        <w:rPr>
          <w:rStyle w:val="ng-star-inserted"/>
        </w:rPr>
      </w:pPr>
    </w:p>
    <w:p w:rsidR="0047409A" w:rsidRDefault="0047409A" w:rsidP="0047409A">
      <w:pPr>
        <w:pStyle w:val="ListParagraph"/>
        <w:numPr>
          <w:ilvl w:val="0"/>
          <w:numId w:val="11"/>
        </w:numPr>
      </w:pPr>
      <w:r>
        <w:t>Conduct regular labor market assessments to identify high-demand trades in different regions</w:t>
      </w:r>
    </w:p>
    <w:p w:rsidR="0047409A" w:rsidRDefault="0047409A" w:rsidP="0047409A">
      <w:pPr>
        <w:pStyle w:val="ListParagraph"/>
        <w:numPr>
          <w:ilvl w:val="0"/>
          <w:numId w:val="11"/>
        </w:numPr>
      </w:pPr>
      <w:r>
        <w:t>Adopt the Employment Fund's outcome-based payment model to incentivize trainer accountability</w:t>
      </w:r>
    </w:p>
    <w:p w:rsidR="0047409A" w:rsidRDefault="0047409A" w:rsidP="0047409A">
      <w:pPr>
        <w:pStyle w:val="ListParagraph"/>
        <w:numPr>
          <w:ilvl w:val="0"/>
          <w:numId w:val="11"/>
        </w:numPr>
      </w:pPr>
      <w:r>
        <w:t>Design women-focused tracks that explicitly account for mobility constraints and emphasize home-based business skills</w:t>
      </w:r>
    </w:p>
    <w:p w:rsidR="0047409A" w:rsidRDefault="0047409A" w:rsidP="0047409A">
      <w:pPr>
        <w:pStyle w:val="ListParagraph"/>
        <w:numPr>
          <w:ilvl w:val="0"/>
          <w:numId w:val="11"/>
        </w:numPr>
      </w:pPr>
      <w:r>
        <w:t>Establish partnerships with private sector employers to ensure training aligns with actual job requirements</w:t>
      </w:r>
    </w:p>
    <w:p w:rsidR="006B3CB1" w:rsidRDefault="006B3CB1"/>
    <w:p w:rsidR="00D1283C" w:rsidRDefault="005C396C" w:rsidP="00D1283C">
      <w:pPr>
        <w:pStyle w:val="Heading1"/>
      </w:pPr>
      <w:r>
        <w:t>7. Policy Implications</w:t>
      </w:r>
    </w:p>
    <w:p w:rsidR="00E60527" w:rsidRPr="00E60527" w:rsidRDefault="00E60527" w:rsidP="00E60527"/>
    <w:p w:rsidR="00D1283C" w:rsidRDefault="00D1283C" w:rsidP="00D1283C">
      <w:r>
        <w:t>Vocational programs should prioritize trades with demonstrated employment outcomes (</w:t>
      </w:r>
      <w:r>
        <w:t xml:space="preserve">in this study they were </w:t>
      </w:r>
      <w:r>
        <w:t>beautician and tailoring)</w:t>
      </w:r>
      <w:r>
        <w:t xml:space="preserve"> that meet the </w:t>
      </w:r>
      <w:r w:rsidR="00E023AB">
        <w:t>labor</w:t>
      </w:r>
      <w:r>
        <w:t xml:space="preserve"> demand</w:t>
      </w:r>
      <w:r>
        <w:t>. Regular labor market assessments should guide curriculum decisions.</w:t>
      </w:r>
    </w:p>
    <w:p w:rsidR="00D1283C" w:rsidRDefault="00D1283C" w:rsidP="00D1283C"/>
    <w:p w:rsidR="00D1283C" w:rsidRDefault="00D1283C" w:rsidP="00D1283C">
      <w:r>
        <w:t>In contexts where cultural norms limit women's mobility, training should explicitly enable home-based self-employment rather than assuming women can access wage employment outside the home.</w:t>
      </w:r>
      <w:r w:rsidR="00B77E8F">
        <w:t xml:space="preserve"> Trainings should be designed for the local cultural norms. </w:t>
      </w:r>
    </w:p>
    <w:p w:rsidR="00D1283C" w:rsidRDefault="00D1283C" w:rsidP="00D1283C"/>
    <w:p w:rsidR="00D1283C" w:rsidRPr="00D1283C" w:rsidRDefault="00D1283C" w:rsidP="00D1283C">
      <w:r>
        <w:t>The outcome-based payment structur</w:t>
      </w:r>
      <w:r>
        <w:t>e---</w:t>
      </w:r>
      <w:r>
        <w:t>where trainers receive final payment only after verified employment</w:t>
      </w:r>
      <w:r>
        <w:t>---</w:t>
      </w:r>
      <w:r>
        <w:t>was crucial to program success and should be replicated in other vocational programs.</w:t>
      </w:r>
    </w:p>
    <w:p w:rsidR="007A7F6B" w:rsidRDefault="007A7F6B"/>
    <w:p w:rsidR="007A7F6B" w:rsidRDefault="005C396C">
      <w:pPr>
        <w:pStyle w:val="Heading1"/>
      </w:pPr>
      <w:r>
        <w:t>Keywords</w:t>
      </w:r>
    </w:p>
    <w:p w:rsidR="007A7F6B" w:rsidRDefault="00E81118">
      <w:r>
        <w:t>Vocational training</w:t>
      </w:r>
      <w:r w:rsidR="005C396C">
        <w:t xml:space="preserve">• </w:t>
      </w:r>
      <w:r w:rsidR="00E023AB">
        <w:t>Labor</w:t>
      </w:r>
      <w:r>
        <w:t xml:space="preserve"> Market</w:t>
      </w:r>
      <w:r w:rsidR="005C396C">
        <w:t xml:space="preserve">• </w:t>
      </w:r>
      <w:r>
        <w:t>Nepal</w:t>
      </w:r>
      <w:r w:rsidR="005C396C">
        <w:t xml:space="preserve">• </w:t>
      </w:r>
      <w:r>
        <w:t>Regression Discontinuity Design</w:t>
      </w:r>
      <w:r w:rsidR="005C396C">
        <w:t xml:space="preserve">• </w:t>
      </w:r>
      <w:r>
        <w:t>Employment</w:t>
      </w:r>
    </w:p>
    <w:p w:rsidR="00747C24" w:rsidRDefault="00747C24">
      <w:pPr>
        <w:pStyle w:val="Heading1"/>
      </w:pPr>
    </w:p>
    <w:p w:rsidR="00747C24" w:rsidRDefault="00747C24">
      <w:pPr>
        <w:pStyle w:val="Heading1"/>
      </w:pPr>
    </w:p>
    <w:p w:rsidR="00747C24" w:rsidRDefault="00747C24">
      <w:pPr>
        <w:pStyle w:val="Heading1"/>
      </w:pPr>
    </w:p>
    <w:p w:rsidR="007A7F6B" w:rsidRDefault="005C396C">
      <w:pPr>
        <w:pStyle w:val="Heading1"/>
      </w:pPr>
      <w:r>
        <w:lastRenderedPageBreak/>
        <w:t>Further Reading</w:t>
      </w:r>
    </w:p>
    <w:p w:rsidR="007A7F6B" w:rsidRDefault="007A7F6B">
      <w:pPr>
        <w:pBdr>
          <w:top w:val="nil"/>
          <w:left w:val="nil"/>
          <w:bottom w:val="nil"/>
          <w:right w:val="nil"/>
          <w:between w:val="nil"/>
        </w:pBdr>
        <w:spacing w:before="60" w:after="60"/>
        <w:rPr>
          <w:i/>
          <w:iCs/>
          <w:color w:val="7F8C8D"/>
          <w:sz w:val="20"/>
          <w:szCs w:val="20"/>
        </w:rPr>
      </w:pPr>
    </w:p>
    <w:p w:rsidR="006A0734" w:rsidRDefault="006A0734" w:rsidP="006A0734">
      <w:pPr>
        <w:pStyle w:val="ListParagraph"/>
        <w:numPr>
          <w:ilvl w:val="0"/>
          <w:numId w:val="8"/>
        </w:numPr>
      </w:pPr>
      <w:r>
        <w:t xml:space="preserve">Baral, D. P., &amp; Paudel, L. N. (2025). Exploring Stakeholders’ Insights into TVET Curriculum in Nepal: A Qualitative Inquiry on Relevance and Practice. </w:t>
      </w:r>
      <w:r w:rsidRPr="006A0734">
        <w:rPr>
          <w:i/>
          <w:iCs/>
        </w:rPr>
        <w:t>Journal of Technical and Vocational Education and Training</w:t>
      </w:r>
      <w:r>
        <w:t xml:space="preserve">, </w:t>
      </w:r>
      <w:r w:rsidRPr="006A0734">
        <w:rPr>
          <w:i/>
          <w:iCs/>
        </w:rPr>
        <w:t>19</w:t>
      </w:r>
      <w:r>
        <w:t xml:space="preserve">(1), 1–19. </w:t>
      </w:r>
      <w:hyperlink r:id="rId8" w:history="1">
        <w:r w:rsidR="00421455" w:rsidRPr="00B10C95">
          <w:rPr>
            <w:rStyle w:val="Hyperlink"/>
          </w:rPr>
          <w:t>https://doi.org/10.3126/tvet.v19i1.75717</w:t>
        </w:r>
      </w:hyperlink>
    </w:p>
    <w:p w:rsidR="00421455" w:rsidRDefault="00421455" w:rsidP="006A0734">
      <w:pPr>
        <w:pStyle w:val="ListParagraph"/>
        <w:numPr>
          <w:ilvl w:val="0"/>
          <w:numId w:val="8"/>
        </w:numPr>
      </w:pPr>
      <w:r>
        <w:t xml:space="preserve">Kluve, J., Puerto, S., Robalino, D., Romero, J. M., Rother, F., Stöterau, J., Weidenkaff, F., &amp; Witte, M. (2019). </w:t>
      </w:r>
      <w:r>
        <w:rPr>
          <w:rStyle w:val="Emphasis"/>
        </w:rPr>
        <w:t>Do youth employment programs improve labor market outcomes? A quantitative review</w:t>
      </w:r>
      <w:r>
        <w:t xml:space="preserve">. </w:t>
      </w:r>
      <w:r>
        <w:rPr>
          <w:rStyle w:val="Emphasis"/>
        </w:rPr>
        <w:t>World Development, 114</w:t>
      </w:r>
      <w:r>
        <w:t>, 237–253</w:t>
      </w:r>
      <w:r>
        <w:t>.</w:t>
      </w:r>
    </w:p>
    <w:p w:rsidR="00421455" w:rsidRDefault="00421455" w:rsidP="00421455">
      <w:pPr>
        <w:pStyle w:val="ListParagraph"/>
      </w:pPr>
      <w:hyperlink r:id="rId9" w:tgtFrame="_blank" w:tooltip="Persistent link using digital object identifier" w:history="1">
        <w:r>
          <w:rPr>
            <w:rStyle w:val="anchor-text"/>
            <w:color w:val="0000FF"/>
            <w:u w:val="single"/>
          </w:rPr>
          <w:t>https://doi.org/10.1016/j.worlddev.2018.10.004</w:t>
        </w:r>
      </w:hyperlink>
    </w:p>
    <w:p w:rsidR="00421455" w:rsidRDefault="00421455" w:rsidP="00421455">
      <w:pPr>
        <w:pStyle w:val="ListParagraph"/>
      </w:pPr>
    </w:p>
    <w:p w:rsidR="007A7F6B" w:rsidRDefault="005C396C">
      <w:pPr>
        <w:pStyle w:val="Heading1"/>
      </w:pPr>
      <w:r>
        <w:t>Citation</w:t>
      </w:r>
    </w:p>
    <w:p w:rsidR="007A7F6B" w:rsidRDefault="008102D7" w:rsidP="008102D7">
      <w:r w:rsidRPr="008102D7">
        <w:t>Chakravarty, S., Lundberg, M., Nikolov, P., Zenker, J. (2019).</w:t>
      </w:r>
      <w:r w:rsidR="005C396C">
        <w:t xml:space="preserve">Evidence Brief: </w:t>
      </w:r>
      <w:r>
        <w:t>Vocational training programs</w:t>
      </w:r>
      <w:r>
        <w:t xml:space="preserve"> </w:t>
      </w:r>
      <w:r>
        <w:t>and youth labor market outcomes: Evidence from Nepal</w:t>
      </w:r>
      <w:r w:rsidR="005C396C">
        <w:t>. Nepal Evidence for Policy Project.</w:t>
      </w:r>
    </w:p>
    <w:p w:rsidR="007A7F6B" w:rsidRDefault="007A7F6B" w:rsidP="00FA5D24">
      <w:pPr>
        <w:pBdr>
          <w:top w:val="nil"/>
          <w:left w:val="nil"/>
          <w:bottom w:val="nil"/>
          <w:right w:val="nil"/>
          <w:between w:val="nil"/>
        </w:pBdr>
        <w:ind w:left="720"/>
      </w:pPr>
    </w:p>
    <w:sectPr w:rsidR="007A7F6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32D9" w:rsidRDefault="00DF32D9">
      <w:r>
        <w:separator/>
      </w:r>
    </w:p>
  </w:endnote>
  <w:endnote w:type="continuationSeparator" w:id="0">
    <w:p w:rsidR="00DF32D9" w:rsidRDefault="00DF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9B9E51-467B-49BD-9B29-7D837996C48C}"/>
  </w:font>
  <w:font w:name="Calibri">
    <w:panose1 w:val="020F0502020204030204"/>
    <w:charset w:val="00"/>
    <w:family w:val="swiss"/>
    <w:pitch w:val="variable"/>
    <w:sig w:usb0="E4002EFF" w:usb1="C200247B" w:usb2="00000009" w:usb3="00000000" w:csb0="000001FF" w:csb1="00000000"/>
    <w:embedRegular r:id="rId2" w:fontKey="{03706E37-6E1E-42E1-8578-B2134F4375CC}"/>
  </w:font>
  <w:font w:name="Mangal">
    <w:panose1 w:val="00000400000000000000"/>
    <w:charset w:val="00"/>
    <w:family w:val="roman"/>
    <w:pitch w:val="variable"/>
    <w:sig w:usb0="00008003" w:usb1="00000000" w:usb2="00000000" w:usb3="00000000" w:csb0="00000001" w:csb1="00000000"/>
    <w:embedRegular r:id="rId3" w:fontKey="{FEB979E9-DB53-43F5-BAFA-DF96B6BB7A59}"/>
  </w:font>
  <w:font w:name="Cambria">
    <w:panose1 w:val="02040503050406030204"/>
    <w:charset w:val="00"/>
    <w:family w:val="roman"/>
    <w:pitch w:val="variable"/>
    <w:sig w:usb0="E00006FF" w:usb1="420024FF" w:usb2="02000000" w:usb3="00000000" w:csb0="0000019F" w:csb1="00000000"/>
    <w:embedRegular r:id="rId4" w:fontKey="{71878C44-1659-4699-BEE1-B7B5319D5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02DA" w:rsidRDefault="00D60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7F6B" w:rsidRDefault="005C396C">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966D6A">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966D6A">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02DA" w:rsidRDefault="00D60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32D9" w:rsidRDefault="00DF32D9">
      <w:r>
        <w:separator/>
      </w:r>
    </w:p>
  </w:footnote>
  <w:footnote w:type="continuationSeparator" w:id="0">
    <w:p w:rsidR="00DF32D9" w:rsidRDefault="00DF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02DA" w:rsidRDefault="00D60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7F6B" w:rsidRDefault="005C396C">
    <w:pPr>
      <w:jc w:val="right"/>
    </w:pPr>
    <w:r>
      <w:rPr>
        <w:i/>
        <w:iCs/>
        <w:color w:val="7F8C8D"/>
        <w:sz w:val="18"/>
        <w:szCs w:val="18"/>
      </w:rPr>
      <w:t xml:space="preserve">Evidence Brief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02DA" w:rsidRDefault="00D60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36E55"/>
    <w:multiLevelType w:val="hybridMultilevel"/>
    <w:tmpl w:val="E03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413F7"/>
    <w:multiLevelType w:val="multilevel"/>
    <w:tmpl w:val="3260E19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4454829"/>
    <w:multiLevelType w:val="hybridMultilevel"/>
    <w:tmpl w:val="41B0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226FC"/>
    <w:multiLevelType w:val="hybridMultilevel"/>
    <w:tmpl w:val="B85C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60BB"/>
    <w:multiLevelType w:val="hybridMultilevel"/>
    <w:tmpl w:val="659E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41033"/>
    <w:multiLevelType w:val="hybridMultilevel"/>
    <w:tmpl w:val="3CB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D25E47"/>
    <w:multiLevelType w:val="hybridMultilevel"/>
    <w:tmpl w:val="1DA2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E1F0A"/>
    <w:multiLevelType w:val="hybridMultilevel"/>
    <w:tmpl w:val="BFDC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7A5CC3"/>
    <w:multiLevelType w:val="hybridMultilevel"/>
    <w:tmpl w:val="F7EE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671CA"/>
    <w:multiLevelType w:val="hybridMultilevel"/>
    <w:tmpl w:val="442E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75C84"/>
    <w:multiLevelType w:val="hybridMultilevel"/>
    <w:tmpl w:val="ECC2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3"/>
  </w:num>
  <w:num w:numId="5">
    <w:abstractNumId w:val="4"/>
  </w:num>
  <w:num w:numId="6">
    <w:abstractNumId w:val="5"/>
  </w:num>
  <w:num w:numId="7">
    <w:abstractNumId w:val="10"/>
  </w:num>
  <w:num w:numId="8">
    <w:abstractNumId w:val="7"/>
  </w:num>
  <w:num w:numId="9">
    <w:abstractNumId w:val="8"/>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6B"/>
    <w:rsid w:val="000043AF"/>
    <w:rsid w:val="0000551B"/>
    <w:rsid w:val="00041E94"/>
    <w:rsid w:val="00046AA4"/>
    <w:rsid w:val="0006394E"/>
    <w:rsid w:val="00074765"/>
    <w:rsid w:val="000E0513"/>
    <w:rsid w:val="00115F7F"/>
    <w:rsid w:val="001651C3"/>
    <w:rsid w:val="001F7AF6"/>
    <w:rsid w:val="00220F90"/>
    <w:rsid w:val="002E73C9"/>
    <w:rsid w:val="002F4E88"/>
    <w:rsid w:val="00322763"/>
    <w:rsid w:val="003256B5"/>
    <w:rsid w:val="00326CE3"/>
    <w:rsid w:val="003E37FD"/>
    <w:rsid w:val="00421455"/>
    <w:rsid w:val="0047409A"/>
    <w:rsid w:val="004816CD"/>
    <w:rsid w:val="005C396C"/>
    <w:rsid w:val="006347BA"/>
    <w:rsid w:val="00641612"/>
    <w:rsid w:val="00697D7B"/>
    <w:rsid w:val="006A0734"/>
    <w:rsid w:val="006B3CB1"/>
    <w:rsid w:val="006D7512"/>
    <w:rsid w:val="007265D6"/>
    <w:rsid w:val="00747C24"/>
    <w:rsid w:val="00791559"/>
    <w:rsid w:val="007A1239"/>
    <w:rsid w:val="007A7F6B"/>
    <w:rsid w:val="008044FD"/>
    <w:rsid w:val="008102D7"/>
    <w:rsid w:val="00865196"/>
    <w:rsid w:val="00906C44"/>
    <w:rsid w:val="009242BC"/>
    <w:rsid w:val="00966D6A"/>
    <w:rsid w:val="009B3169"/>
    <w:rsid w:val="009D0786"/>
    <w:rsid w:val="009E3D5A"/>
    <w:rsid w:val="00A97FB7"/>
    <w:rsid w:val="00AB14D4"/>
    <w:rsid w:val="00AE2BD5"/>
    <w:rsid w:val="00B77E8F"/>
    <w:rsid w:val="00BA6FA2"/>
    <w:rsid w:val="00BB09F9"/>
    <w:rsid w:val="00BC08E7"/>
    <w:rsid w:val="00C15CF6"/>
    <w:rsid w:val="00C4091D"/>
    <w:rsid w:val="00C55F87"/>
    <w:rsid w:val="00C87EFF"/>
    <w:rsid w:val="00CA0D60"/>
    <w:rsid w:val="00CC131F"/>
    <w:rsid w:val="00D1283C"/>
    <w:rsid w:val="00D50786"/>
    <w:rsid w:val="00D602DA"/>
    <w:rsid w:val="00DA1D93"/>
    <w:rsid w:val="00DF32D9"/>
    <w:rsid w:val="00E023AB"/>
    <w:rsid w:val="00E059F7"/>
    <w:rsid w:val="00E60527"/>
    <w:rsid w:val="00E81118"/>
    <w:rsid w:val="00EC43ED"/>
    <w:rsid w:val="00F10198"/>
    <w:rsid w:val="00FA5D2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084A1"/>
  <w15:docId w15:val="{594742BE-57F6-4322-B053-3BE7C71D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20"/>
      <w:outlineLvl w:val="0"/>
    </w:pPr>
    <w:rPr>
      <w:b/>
      <w:bCs/>
      <w:color w:val="1B4F72"/>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80"/>
      <w:outlineLvl w:val="1"/>
    </w:pPr>
    <w:rPr>
      <w:b/>
      <w:bCs/>
      <w:color w:val="2E86AB"/>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240"/>
      <w:jc w:val="center"/>
    </w:pPr>
    <w:rPr>
      <w:b/>
      <w:bCs/>
      <w:color w:val="1B4F72"/>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customStyle="1" w:styleId="ng-star-inserted">
    <w:name w:val="ng-star-inserted"/>
    <w:basedOn w:val="DefaultParagraphFont"/>
    <w:rsid w:val="003E37FD"/>
  </w:style>
  <w:style w:type="paragraph" w:styleId="ListParagraph">
    <w:name w:val="List Paragraph"/>
    <w:basedOn w:val="Normal"/>
    <w:uiPriority w:val="34"/>
    <w:qFormat/>
    <w:rsid w:val="00BB09F9"/>
    <w:pPr>
      <w:ind w:left="720"/>
      <w:contextualSpacing/>
    </w:pPr>
    <w:rPr>
      <w:szCs w:val="20"/>
    </w:rPr>
  </w:style>
  <w:style w:type="character" w:styleId="Hyperlink">
    <w:name w:val="Hyperlink"/>
    <w:basedOn w:val="DefaultParagraphFont"/>
    <w:uiPriority w:val="99"/>
    <w:unhideWhenUsed/>
    <w:rsid w:val="006A0734"/>
    <w:rPr>
      <w:color w:val="0000FF" w:themeColor="hyperlink"/>
      <w:u w:val="single"/>
    </w:rPr>
  </w:style>
  <w:style w:type="character" w:styleId="UnresolvedMention">
    <w:name w:val="Unresolved Mention"/>
    <w:basedOn w:val="DefaultParagraphFont"/>
    <w:uiPriority w:val="99"/>
    <w:semiHidden/>
    <w:unhideWhenUsed/>
    <w:rsid w:val="006A0734"/>
    <w:rPr>
      <w:color w:val="605E5C"/>
      <w:shd w:val="clear" w:color="auto" w:fill="E1DFDD"/>
    </w:rPr>
  </w:style>
  <w:style w:type="character" w:customStyle="1" w:styleId="anchor-text">
    <w:name w:val="anchor-text"/>
    <w:basedOn w:val="DefaultParagraphFont"/>
    <w:rsid w:val="00D602DA"/>
  </w:style>
  <w:style w:type="paragraph" w:styleId="Header">
    <w:name w:val="header"/>
    <w:basedOn w:val="Normal"/>
    <w:link w:val="HeaderChar"/>
    <w:uiPriority w:val="99"/>
    <w:unhideWhenUsed/>
    <w:rsid w:val="00D602DA"/>
    <w:pPr>
      <w:tabs>
        <w:tab w:val="center" w:pos="4680"/>
        <w:tab w:val="right" w:pos="9360"/>
      </w:tabs>
    </w:pPr>
    <w:rPr>
      <w:szCs w:val="20"/>
    </w:rPr>
  </w:style>
  <w:style w:type="character" w:customStyle="1" w:styleId="HeaderChar">
    <w:name w:val="Header Char"/>
    <w:basedOn w:val="DefaultParagraphFont"/>
    <w:link w:val="Header"/>
    <w:uiPriority w:val="99"/>
    <w:rsid w:val="00D602DA"/>
    <w:rPr>
      <w:szCs w:val="20"/>
    </w:rPr>
  </w:style>
  <w:style w:type="paragraph" w:styleId="Footer">
    <w:name w:val="footer"/>
    <w:basedOn w:val="Normal"/>
    <w:link w:val="FooterChar"/>
    <w:uiPriority w:val="99"/>
    <w:unhideWhenUsed/>
    <w:rsid w:val="00D602DA"/>
    <w:pPr>
      <w:tabs>
        <w:tab w:val="center" w:pos="4680"/>
        <w:tab w:val="right" w:pos="9360"/>
      </w:tabs>
    </w:pPr>
    <w:rPr>
      <w:szCs w:val="20"/>
    </w:rPr>
  </w:style>
  <w:style w:type="character" w:customStyle="1" w:styleId="FooterChar">
    <w:name w:val="Footer Char"/>
    <w:basedOn w:val="DefaultParagraphFont"/>
    <w:link w:val="Footer"/>
    <w:uiPriority w:val="99"/>
    <w:rsid w:val="00D602DA"/>
    <w:rPr>
      <w:szCs w:val="20"/>
    </w:rPr>
  </w:style>
  <w:style w:type="character" w:styleId="Strong">
    <w:name w:val="Strong"/>
    <w:basedOn w:val="DefaultParagraphFont"/>
    <w:uiPriority w:val="22"/>
    <w:qFormat/>
    <w:rsid w:val="00D1283C"/>
    <w:rPr>
      <w:b/>
      <w:bCs/>
    </w:rPr>
  </w:style>
  <w:style w:type="character" w:styleId="Emphasis">
    <w:name w:val="Emphasis"/>
    <w:basedOn w:val="DefaultParagraphFont"/>
    <w:uiPriority w:val="20"/>
    <w:qFormat/>
    <w:rsid w:val="004214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3839">
      <w:bodyDiv w:val="1"/>
      <w:marLeft w:val="0"/>
      <w:marRight w:val="0"/>
      <w:marTop w:val="0"/>
      <w:marBottom w:val="0"/>
      <w:divBdr>
        <w:top w:val="none" w:sz="0" w:space="0" w:color="auto"/>
        <w:left w:val="none" w:sz="0" w:space="0" w:color="auto"/>
        <w:bottom w:val="none" w:sz="0" w:space="0" w:color="auto"/>
        <w:right w:val="none" w:sz="0" w:space="0" w:color="auto"/>
      </w:divBdr>
    </w:div>
    <w:div w:id="186144073">
      <w:bodyDiv w:val="1"/>
      <w:marLeft w:val="0"/>
      <w:marRight w:val="0"/>
      <w:marTop w:val="0"/>
      <w:marBottom w:val="0"/>
      <w:divBdr>
        <w:top w:val="none" w:sz="0" w:space="0" w:color="auto"/>
        <w:left w:val="none" w:sz="0" w:space="0" w:color="auto"/>
        <w:bottom w:val="none" w:sz="0" w:space="0" w:color="auto"/>
        <w:right w:val="none" w:sz="0" w:space="0" w:color="auto"/>
      </w:divBdr>
      <w:divsChild>
        <w:div w:id="1007174498">
          <w:marLeft w:val="0"/>
          <w:marRight w:val="0"/>
          <w:marTop w:val="0"/>
          <w:marBottom w:val="0"/>
          <w:divBdr>
            <w:top w:val="none" w:sz="0" w:space="0" w:color="auto"/>
            <w:left w:val="none" w:sz="0" w:space="0" w:color="auto"/>
            <w:bottom w:val="none" w:sz="0" w:space="0" w:color="auto"/>
            <w:right w:val="none" w:sz="0" w:space="0" w:color="auto"/>
          </w:divBdr>
        </w:div>
        <w:div w:id="500316247">
          <w:marLeft w:val="0"/>
          <w:marRight w:val="0"/>
          <w:marTop w:val="0"/>
          <w:marBottom w:val="0"/>
          <w:divBdr>
            <w:top w:val="none" w:sz="0" w:space="0" w:color="auto"/>
            <w:left w:val="none" w:sz="0" w:space="0" w:color="auto"/>
            <w:bottom w:val="none" w:sz="0" w:space="0" w:color="auto"/>
            <w:right w:val="none" w:sz="0" w:space="0" w:color="auto"/>
          </w:divBdr>
        </w:div>
        <w:div w:id="1965505729">
          <w:marLeft w:val="0"/>
          <w:marRight w:val="0"/>
          <w:marTop w:val="0"/>
          <w:marBottom w:val="0"/>
          <w:divBdr>
            <w:top w:val="none" w:sz="0" w:space="0" w:color="auto"/>
            <w:left w:val="none" w:sz="0" w:space="0" w:color="auto"/>
            <w:bottom w:val="none" w:sz="0" w:space="0" w:color="auto"/>
            <w:right w:val="none" w:sz="0" w:space="0" w:color="auto"/>
          </w:divBdr>
        </w:div>
        <w:div w:id="1386490052">
          <w:marLeft w:val="0"/>
          <w:marRight w:val="0"/>
          <w:marTop w:val="0"/>
          <w:marBottom w:val="0"/>
          <w:divBdr>
            <w:top w:val="none" w:sz="0" w:space="0" w:color="auto"/>
            <w:left w:val="none" w:sz="0" w:space="0" w:color="auto"/>
            <w:bottom w:val="none" w:sz="0" w:space="0" w:color="auto"/>
            <w:right w:val="none" w:sz="0" w:space="0" w:color="auto"/>
          </w:divBdr>
        </w:div>
      </w:divsChild>
    </w:div>
    <w:div w:id="276765051">
      <w:bodyDiv w:val="1"/>
      <w:marLeft w:val="0"/>
      <w:marRight w:val="0"/>
      <w:marTop w:val="0"/>
      <w:marBottom w:val="0"/>
      <w:divBdr>
        <w:top w:val="none" w:sz="0" w:space="0" w:color="auto"/>
        <w:left w:val="none" w:sz="0" w:space="0" w:color="auto"/>
        <w:bottom w:val="none" w:sz="0" w:space="0" w:color="auto"/>
        <w:right w:val="none" w:sz="0" w:space="0" w:color="auto"/>
      </w:divBdr>
      <w:divsChild>
        <w:div w:id="72092366">
          <w:marLeft w:val="0"/>
          <w:marRight w:val="0"/>
          <w:marTop w:val="0"/>
          <w:marBottom w:val="0"/>
          <w:divBdr>
            <w:top w:val="none" w:sz="0" w:space="0" w:color="auto"/>
            <w:left w:val="none" w:sz="0" w:space="0" w:color="auto"/>
            <w:bottom w:val="none" w:sz="0" w:space="0" w:color="auto"/>
            <w:right w:val="none" w:sz="0" w:space="0" w:color="auto"/>
          </w:divBdr>
          <w:divsChild>
            <w:div w:id="13252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2668">
      <w:bodyDiv w:val="1"/>
      <w:marLeft w:val="0"/>
      <w:marRight w:val="0"/>
      <w:marTop w:val="0"/>
      <w:marBottom w:val="0"/>
      <w:divBdr>
        <w:top w:val="none" w:sz="0" w:space="0" w:color="auto"/>
        <w:left w:val="none" w:sz="0" w:space="0" w:color="auto"/>
        <w:bottom w:val="none" w:sz="0" w:space="0" w:color="auto"/>
        <w:right w:val="none" w:sz="0" w:space="0" w:color="auto"/>
      </w:divBdr>
      <w:divsChild>
        <w:div w:id="1976180879">
          <w:marLeft w:val="0"/>
          <w:marRight w:val="0"/>
          <w:marTop w:val="0"/>
          <w:marBottom w:val="0"/>
          <w:divBdr>
            <w:top w:val="none" w:sz="0" w:space="0" w:color="auto"/>
            <w:left w:val="none" w:sz="0" w:space="0" w:color="auto"/>
            <w:bottom w:val="none" w:sz="0" w:space="0" w:color="auto"/>
            <w:right w:val="none" w:sz="0" w:space="0" w:color="auto"/>
          </w:divBdr>
        </w:div>
        <w:div w:id="805776928">
          <w:marLeft w:val="0"/>
          <w:marRight w:val="0"/>
          <w:marTop w:val="0"/>
          <w:marBottom w:val="0"/>
          <w:divBdr>
            <w:top w:val="none" w:sz="0" w:space="0" w:color="auto"/>
            <w:left w:val="none" w:sz="0" w:space="0" w:color="auto"/>
            <w:bottom w:val="none" w:sz="0" w:space="0" w:color="auto"/>
            <w:right w:val="none" w:sz="0" w:space="0" w:color="auto"/>
          </w:divBdr>
        </w:div>
      </w:divsChild>
    </w:div>
    <w:div w:id="546575735">
      <w:bodyDiv w:val="1"/>
      <w:marLeft w:val="0"/>
      <w:marRight w:val="0"/>
      <w:marTop w:val="0"/>
      <w:marBottom w:val="0"/>
      <w:divBdr>
        <w:top w:val="none" w:sz="0" w:space="0" w:color="auto"/>
        <w:left w:val="none" w:sz="0" w:space="0" w:color="auto"/>
        <w:bottom w:val="none" w:sz="0" w:space="0" w:color="auto"/>
        <w:right w:val="none" w:sz="0" w:space="0" w:color="auto"/>
      </w:divBdr>
    </w:div>
    <w:div w:id="830292212">
      <w:bodyDiv w:val="1"/>
      <w:marLeft w:val="0"/>
      <w:marRight w:val="0"/>
      <w:marTop w:val="0"/>
      <w:marBottom w:val="0"/>
      <w:divBdr>
        <w:top w:val="none" w:sz="0" w:space="0" w:color="auto"/>
        <w:left w:val="none" w:sz="0" w:space="0" w:color="auto"/>
        <w:bottom w:val="none" w:sz="0" w:space="0" w:color="auto"/>
        <w:right w:val="none" w:sz="0" w:space="0" w:color="auto"/>
      </w:divBdr>
    </w:div>
    <w:div w:id="1139882439">
      <w:bodyDiv w:val="1"/>
      <w:marLeft w:val="0"/>
      <w:marRight w:val="0"/>
      <w:marTop w:val="0"/>
      <w:marBottom w:val="0"/>
      <w:divBdr>
        <w:top w:val="none" w:sz="0" w:space="0" w:color="auto"/>
        <w:left w:val="none" w:sz="0" w:space="0" w:color="auto"/>
        <w:bottom w:val="none" w:sz="0" w:space="0" w:color="auto"/>
        <w:right w:val="none" w:sz="0" w:space="0" w:color="auto"/>
      </w:divBdr>
      <w:divsChild>
        <w:div w:id="1111127340">
          <w:marLeft w:val="0"/>
          <w:marRight w:val="0"/>
          <w:marTop w:val="0"/>
          <w:marBottom w:val="0"/>
          <w:divBdr>
            <w:top w:val="none" w:sz="0" w:space="0" w:color="auto"/>
            <w:left w:val="none" w:sz="0" w:space="0" w:color="auto"/>
            <w:bottom w:val="none" w:sz="0" w:space="0" w:color="auto"/>
            <w:right w:val="none" w:sz="0" w:space="0" w:color="auto"/>
          </w:divBdr>
        </w:div>
        <w:div w:id="1447967871">
          <w:marLeft w:val="0"/>
          <w:marRight w:val="0"/>
          <w:marTop w:val="0"/>
          <w:marBottom w:val="0"/>
          <w:divBdr>
            <w:top w:val="none" w:sz="0" w:space="0" w:color="auto"/>
            <w:left w:val="none" w:sz="0" w:space="0" w:color="auto"/>
            <w:bottom w:val="none" w:sz="0" w:space="0" w:color="auto"/>
            <w:right w:val="none" w:sz="0" w:space="0" w:color="auto"/>
          </w:divBdr>
        </w:div>
        <w:div w:id="1966302171">
          <w:marLeft w:val="0"/>
          <w:marRight w:val="0"/>
          <w:marTop w:val="0"/>
          <w:marBottom w:val="0"/>
          <w:divBdr>
            <w:top w:val="none" w:sz="0" w:space="0" w:color="auto"/>
            <w:left w:val="none" w:sz="0" w:space="0" w:color="auto"/>
            <w:bottom w:val="none" w:sz="0" w:space="0" w:color="auto"/>
            <w:right w:val="none" w:sz="0" w:space="0" w:color="auto"/>
          </w:divBdr>
        </w:div>
        <w:div w:id="1570656632">
          <w:marLeft w:val="0"/>
          <w:marRight w:val="0"/>
          <w:marTop w:val="0"/>
          <w:marBottom w:val="0"/>
          <w:divBdr>
            <w:top w:val="none" w:sz="0" w:space="0" w:color="auto"/>
            <w:left w:val="none" w:sz="0" w:space="0" w:color="auto"/>
            <w:bottom w:val="none" w:sz="0" w:space="0" w:color="auto"/>
            <w:right w:val="none" w:sz="0" w:space="0" w:color="auto"/>
          </w:divBdr>
        </w:div>
        <w:div w:id="163709168">
          <w:marLeft w:val="0"/>
          <w:marRight w:val="0"/>
          <w:marTop w:val="0"/>
          <w:marBottom w:val="0"/>
          <w:divBdr>
            <w:top w:val="none" w:sz="0" w:space="0" w:color="auto"/>
            <w:left w:val="none" w:sz="0" w:space="0" w:color="auto"/>
            <w:bottom w:val="none" w:sz="0" w:space="0" w:color="auto"/>
            <w:right w:val="none" w:sz="0" w:space="0" w:color="auto"/>
          </w:divBdr>
        </w:div>
        <w:div w:id="1991253323">
          <w:marLeft w:val="0"/>
          <w:marRight w:val="0"/>
          <w:marTop w:val="0"/>
          <w:marBottom w:val="0"/>
          <w:divBdr>
            <w:top w:val="none" w:sz="0" w:space="0" w:color="auto"/>
            <w:left w:val="none" w:sz="0" w:space="0" w:color="auto"/>
            <w:bottom w:val="none" w:sz="0" w:space="0" w:color="auto"/>
            <w:right w:val="none" w:sz="0" w:space="0" w:color="auto"/>
          </w:divBdr>
        </w:div>
      </w:divsChild>
    </w:div>
    <w:div w:id="1267612383">
      <w:bodyDiv w:val="1"/>
      <w:marLeft w:val="0"/>
      <w:marRight w:val="0"/>
      <w:marTop w:val="0"/>
      <w:marBottom w:val="0"/>
      <w:divBdr>
        <w:top w:val="none" w:sz="0" w:space="0" w:color="auto"/>
        <w:left w:val="none" w:sz="0" w:space="0" w:color="auto"/>
        <w:bottom w:val="none" w:sz="0" w:space="0" w:color="auto"/>
        <w:right w:val="none" w:sz="0" w:space="0" w:color="auto"/>
      </w:divBdr>
    </w:div>
    <w:div w:id="1638145985">
      <w:bodyDiv w:val="1"/>
      <w:marLeft w:val="0"/>
      <w:marRight w:val="0"/>
      <w:marTop w:val="0"/>
      <w:marBottom w:val="0"/>
      <w:divBdr>
        <w:top w:val="none" w:sz="0" w:space="0" w:color="auto"/>
        <w:left w:val="none" w:sz="0" w:space="0" w:color="auto"/>
        <w:bottom w:val="none" w:sz="0" w:space="0" w:color="auto"/>
        <w:right w:val="none" w:sz="0" w:space="0" w:color="auto"/>
      </w:divBdr>
    </w:div>
    <w:div w:id="1747457465">
      <w:bodyDiv w:val="1"/>
      <w:marLeft w:val="0"/>
      <w:marRight w:val="0"/>
      <w:marTop w:val="0"/>
      <w:marBottom w:val="0"/>
      <w:divBdr>
        <w:top w:val="none" w:sz="0" w:space="0" w:color="auto"/>
        <w:left w:val="none" w:sz="0" w:space="0" w:color="auto"/>
        <w:bottom w:val="none" w:sz="0" w:space="0" w:color="auto"/>
        <w:right w:val="none" w:sz="0" w:space="0" w:color="auto"/>
      </w:divBdr>
      <w:divsChild>
        <w:div w:id="678578661">
          <w:marLeft w:val="0"/>
          <w:marRight w:val="0"/>
          <w:marTop w:val="0"/>
          <w:marBottom w:val="0"/>
          <w:divBdr>
            <w:top w:val="none" w:sz="0" w:space="0" w:color="auto"/>
            <w:left w:val="none" w:sz="0" w:space="0" w:color="auto"/>
            <w:bottom w:val="none" w:sz="0" w:space="0" w:color="auto"/>
            <w:right w:val="none" w:sz="0" w:space="0" w:color="auto"/>
          </w:divBdr>
        </w:div>
        <w:div w:id="1848716125">
          <w:marLeft w:val="0"/>
          <w:marRight w:val="0"/>
          <w:marTop w:val="0"/>
          <w:marBottom w:val="0"/>
          <w:divBdr>
            <w:top w:val="none" w:sz="0" w:space="0" w:color="auto"/>
            <w:left w:val="none" w:sz="0" w:space="0" w:color="auto"/>
            <w:bottom w:val="none" w:sz="0" w:space="0" w:color="auto"/>
            <w:right w:val="none" w:sz="0" w:space="0" w:color="auto"/>
          </w:divBdr>
        </w:div>
        <w:div w:id="780880915">
          <w:marLeft w:val="0"/>
          <w:marRight w:val="0"/>
          <w:marTop w:val="0"/>
          <w:marBottom w:val="0"/>
          <w:divBdr>
            <w:top w:val="none" w:sz="0" w:space="0" w:color="auto"/>
            <w:left w:val="none" w:sz="0" w:space="0" w:color="auto"/>
            <w:bottom w:val="none" w:sz="0" w:space="0" w:color="auto"/>
            <w:right w:val="none" w:sz="0" w:space="0" w:color="auto"/>
          </w:divBdr>
        </w:div>
        <w:div w:id="303122994">
          <w:marLeft w:val="0"/>
          <w:marRight w:val="0"/>
          <w:marTop w:val="0"/>
          <w:marBottom w:val="0"/>
          <w:divBdr>
            <w:top w:val="none" w:sz="0" w:space="0" w:color="auto"/>
            <w:left w:val="none" w:sz="0" w:space="0" w:color="auto"/>
            <w:bottom w:val="none" w:sz="0" w:space="0" w:color="auto"/>
            <w:right w:val="none" w:sz="0" w:space="0" w:color="auto"/>
          </w:divBdr>
        </w:div>
        <w:div w:id="226037041">
          <w:marLeft w:val="0"/>
          <w:marRight w:val="0"/>
          <w:marTop w:val="0"/>
          <w:marBottom w:val="0"/>
          <w:divBdr>
            <w:top w:val="none" w:sz="0" w:space="0" w:color="auto"/>
            <w:left w:val="none" w:sz="0" w:space="0" w:color="auto"/>
            <w:bottom w:val="none" w:sz="0" w:space="0" w:color="auto"/>
            <w:right w:val="none" w:sz="0" w:space="0" w:color="auto"/>
          </w:divBdr>
        </w:div>
        <w:div w:id="586227783">
          <w:marLeft w:val="0"/>
          <w:marRight w:val="0"/>
          <w:marTop w:val="0"/>
          <w:marBottom w:val="0"/>
          <w:divBdr>
            <w:top w:val="none" w:sz="0" w:space="0" w:color="auto"/>
            <w:left w:val="none" w:sz="0" w:space="0" w:color="auto"/>
            <w:bottom w:val="none" w:sz="0" w:space="0" w:color="auto"/>
            <w:right w:val="none" w:sz="0" w:space="0" w:color="auto"/>
          </w:divBdr>
        </w:div>
      </w:divsChild>
    </w:div>
    <w:div w:id="1773817653">
      <w:bodyDiv w:val="1"/>
      <w:marLeft w:val="0"/>
      <w:marRight w:val="0"/>
      <w:marTop w:val="0"/>
      <w:marBottom w:val="0"/>
      <w:divBdr>
        <w:top w:val="none" w:sz="0" w:space="0" w:color="auto"/>
        <w:left w:val="none" w:sz="0" w:space="0" w:color="auto"/>
        <w:bottom w:val="none" w:sz="0" w:space="0" w:color="auto"/>
        <w:right w:val="none" w:sz="0" w:space="0" w:color="auto"/>
      </w:divBdr>
    </w:div>
    <w:div w:id="1822768949">
      <w:bodyDiv w:val="1"/>
      <w:marLeft w:val="0"/>
      <w:marRight w:val="0"/>
      <w:marTop w:val="0"/>
      <w:marBottom w:val="0"/>
      <w:divBdr>
        <w:top w:val="none" w:sz="0" w:space="0" w:color="auto"/>
        <w:left w:val="none" w:sz="0" w:space="0" w:color="auto"/>
        <w:bottom w:val="none" w:sz="0" w:space="0" w:color="auto"/>
        <w:right w:val="none" w:sz="0" w:space="0" w:color="auto"/>
      </w:divBdr>
      <w:divsChild>
        <w:div w:id="912617075">
          <w:marLeft w:val="0"/>
          <w:marRight w:val="0"/>
          <w:marTop w:val="0"/>
          <w:marBottom w:val="0"/>
          <w:divBdr>
            <w:top w:val="none" w:sz="0" w:space="0" w:color="auto"/>
            <w:left w:val="none" w:sz="0" w:space="0" w:color="auto"/>
            <w:bottom w:val="none" w:sz="0" w:space="0" w:color="auto"/>
            <w:right w:val="none" w:sz="0" w:space="0" w:color="auto"/>
          </w:divBdr>
        </w:div>
        <w:div w:id="1794982893">
          <w:marLeft w:val="0"/>
          <w:marRight w:val="0"/>
          <w:marTop w:val="0"/>
          <w:marBottom w:val="0"/>
          <w:divBdr>
            <w:top w:val="none" w:sz="0" w:space="0" w:color="auto"/>
            <w:left w:val="none" w:sz="0" w:space="0" w:color="auto"/>
            <w:bottom w:val="none" w:sz="0" w:space="0" w:color="auto"/>
            <w:right w:val="none" w:sz="0" w:space="0" w:color="auto"/>
          </w:divBdr>
        </w:div>
        <w:div w:id="1795828170">
          <w:marLeft w:val="0"/>
          <w:marRight w:val="0"/>
          <w:marTop w:val="0"/>
          <w:marBottom w:val="0"/>
          <w:divBdr>
            <w:top w:val="none" w:sz="0" w:space="0" w:color="auto"/>
            <w:left w:val="none" w:sz="0" w:space="0" w:color="auto"/>
            <w:bottom w:val="none" w:sz="0" w:space="0" w:color="auto"/>
            <w:right w:val="none" w:sz="0" w:space="0" w:color="auto"/>
          </w:divBdr>
        </w:div>
        <w:div w:id="797604973">
          <w:marLeft w:val="0"/>
          <w:marRight w:val="0"/>
          <w:marTop w:val="0"/>
          <w:marBottom w:val="0"/>
          <w:divBdr>
            <w:top w:val="none" w:sz="0" w:space="0" w:color="auto"/>
            <w:left w:val="none" w:sz="0" w:space="0" w:color="auto"/>
            <w:bottom w:val="none" w:sz="0" w:space="0" w:color="auto"/>
            <w:right w:val="none" w:sz="0" w:space="0" w:color="auto"/>
          </w:divBdr>
        </w:div>
        <w:div w:id="179316283">
          <w:marLeft w:val="0"/>
          <w:marRight w:val="0"/>
          <w:marTop w:val="0"/>
          <w:marBottom w:val="0"/>
          <w:divBdr>
            <w:top w:val="none" w:sz="0" w:space="0" w:color="auto"/>
            <w:left w:val="none" w:sz="0" w:space="0" w:color="auto"/>
            <w:bottom w:val="none" w:sz="0" w:space="0" w:color="auto"/>
            <w:right w:val="none" w:sz="0" w:space="0" w:color="auto"/>
          </w:divBdr>
        </w:div>
        <w:div w:id="901790306">
          <w:marLeft w:val="0"/>
          <w:marRight w:val="0"/>
          <w:marTop w:val="0"/>
          <w:marBottom w:val="0"/>
          <w:divBdr>
            <w:top w:val="none" w:sz="0" w:space="0" w:color="auto"/>
            <w:left w:val="none" w:sz="0" w:space="0" w:color="auto"/>
            <w:bottom w:val="none" w:sz="0" w:space="0" w:color="auto"/>
            <w:right w:val="none" w:sz="0" w:space="0" w:color="auto"/>
          </w:divBdr>
        </w:div>
      </w:divsChild>
    </w:div>
    <w:div w:id="185318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26/tvet.v19i1.75717"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1016/j.jdeveco.2018.09.002"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worlddev.2018.10.004"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8</Pages>
  <Words>2614</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52</cp:revision>
  <dcterms:created xsi:type="dcterms:W3CDTF">2026-01-10T16:12:00Z</dcterms:created>
  <dcterms:modified xsi:type="dcterms:W3CDTF">2026-01-17T13:02:00Z</dcterms:modified>
</cp:coreProperties>
</file>